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11" w:rsidRPr="00674672" w:rsidRDefault="005B19D2" w:rsidP="00CC17FD">
      <w:pPr>
        <w:pStyle w:val="Heading1"/>
      </w:pPr>
      <w:r>
        <w:t>E</w:t>
      </w:r>
      <w:r w:rsidR="007E1689" w:rsidRPr="00674672">
        <w:t>P</w:t>
      </w:r>
      <w:r w:rsidR="00674672" w:rsidRPr="00674672">
        <w:t>_</w:t>
      </w:r>
      <w:r>
        <w:t>EXTERNAL PARTY COMPLAINT POLICY</w:t>
      </w:r>
    </w:p>
    <w:p w:rsidR="0073037B" w:rsidRPr="0073037B" w:rsidRDefault="0073037B" w:rsidP="0073037B">
      <w:pPr>
        <w:widowControl/>
        <w:suppressAutoHyphens/>
        <w:autoSpaceDE/>
        <w:autoSpaceDN/>
        <w:adjustRightInd/>
        <w:spacing w:before="200" w:after="0"/>
        <w:jc w:val="left"/>
        <w:rPr>
          <w:rFonts w:eastAsiaTheme="minorHAnsi"/>
          <w:b/>
          <w:i/>
          <w:color w:val="auto"/>
          <w:spacing w:val="-3"/>
        </w:rPr>
      </w:pPr>
      <w:r w:rsidRPr="0073037B">
        <w:rPr>
          <w:rFonts w:eastAsiaTheme="minorHAnsi"/>
          <w:color w:val="auto"/>
          <w:spacing w:val="-3"/>
        </w:rPr>
        <w:t>Reference to:</w:t>
      </w:r>
      <w:r w:rsidRPr="0073037B">
        <w:rPr>
          <w:rFonts w:eastAsiaTheme="minorHAnsi"/>
          <w:b/>
          <w:i/>
          <w:color w:val="auto"/>
          <w:spacing w:val="-3"/>
        </w:rPr>
        <w:tab/>
      </w:r>
    </w:p>
    <w:p w:rsidR="0073037B" w:rsidRPr="0073037B" w:rsidRDefault="0073037B" w:rsidP="0073037B">
      <w:pPr>
        <w:widowControl/>
        <w:numPr>
          <w:ilvl w:val="12"/>
          <w:numId w:val="0"/>
        </w:numPr>
        <w:suppressAutoHyphens/>
        <w:autoSpaceDE/>
        <w:autoSpaceDN/>
        <w:adjustRightInd/>
        <w:spacing w:after="0"/>
        <w:ind w:left="1701"/>
        <w:rPr>
          <w:rFonts w:eastAsiaTheme="minorHAnsi"/>
          <w:b/>
          <w:i/>
          <w:color w:val="auto"/>
          <w:spacing w:val="-3"/>
        </w:rPr>
      </w:pPr>
      <w:r w:rsidRPr="0073037B">
        <w:rPr>
          <w:rFonts w:eastAsiaTheme="minorHAnsi"/>
          <w:b/>
          <w:color w:val="auto"/>
          <w:spacing w:val="-3"/>
        </w:rPr>
        <w:t>National Standards for Disability Services</w:t>
      </w:r>
    </w:p>
    <w:p w:rsidR="0073037B" w:rsidRPr="0073037B" w:rsidRDefault="0073037B" w:rsidP="0073037B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0"/>
        <w:ind w:left="1701" w:firstLine="0"/>
        <w:jc w:val="left"/>
        <w:rPr>
          <w:b/>
          <w:i/>
          <w:color w:val="auto"/>
          <w:spacing w:val="-3"/>
        </w:rPr>
      </w:pPr>
      <w:r w:rsidRPr="0073037B">
        <w:rPr>
          <w:color w:val="auto"/>
          <w:spacing w:val="-3"/>
        </w:rPr>
        <w:t>Standard 1 Rights</w:t>
      </w:r>
    </w:p>
    <w:p w:rsidR="0073037B" w:rsidRPr="0073037B" w:rsidRDefault="0073037B" w:rsidP="0073037B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0"/>
        <w:ind w:left="1701" w:firstLine="0"/>
        <w:jc w:val="left"/>
        <w:rPr>
          <w:b/>
          <w:i/>
          <w:color w:val="auto"/>
          <w:spacing w:val="-3"/>
        </w:rPr>
      </w:pPr>
      <w:r w:rsidRPr="0073037B">
        <w:rPr>
          <w:color w:val="auto"/>
          <w:spacing w:val="-3"/>
        </w:rPr>
        <w:t>Standard 2 Participation and Inclusion</w:t>
      </w:r>
    </w:p>
    <w:p w:rsidR="0073037B" w:rsidRPr="0073037B" w:rsidRDefault="0073037B" w:rsidP="0073037B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0"/>
        <w:ind w:left="1701" w:firstLine="0"/>
        <w:jc w:val="left"/>
        <w:rPr>
          <w:b/>
          <w:i/>
          <w:color w:val="auto"/>
          <w:spacing w:val="-3"/>
        </w:rPr>
      </w:pPr>
      <w:r w:rsidRPr="0073037B">
        <w:rPr>
          <w:color w:val="auto"/>
          <w:spacing w:val="-3"/>
        </w:rPr>
        <w:t>Standard 3 Individual Outcomes</w:t>
      </w:r>
    </w:p>
    <w:p w:rsidR="0073037B" w:rsidRPr="0073037B" w:rsidRDefault="0073037B" w:rsidP="0073037B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0"/>
        <w:ind w:left="1701" w:firstLine="0"/>
        <w:jc w:val="left"/>
        <w:rPr>
          <w:b/>
          <w:i/>
          <w:color w:val="auto"/>
          <w:spacing w:val="-3"/>
        </w:rPr>
      </w:pPr>
      <w:r w:rsidRPr="0073037B">
        <w:rPr>
          <w:color w:val="auto"/>
          <w:spacing w:val="-3"/>
        </w:rPr>
        <w:t>Standard 4 Feedback and Complaints</w:t>
      </w:r>
    </w:p>
    <w:p w:rsidR="0073037B" w:rsidRPr="0073037B" w:rsidRDefault="0073037B" w:rsidP="0073037B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0"/>
        <w:ind w:left="1701" w:firstLine="0"/>
        <w:jc w:val="left"/>
        <w:rPr>
          <w:b/>
          <w:i/>
          <w:color w:val="auto"/>
          <w:spacing w:val="-3"/>
        </w:rPr>
      </w:pPr>
      <w:r w:rsidRPr="0073037B">
        <w:rPr>
          <w:color w:val="auto"/>
          <w:spacing w:val="-3"/>
        </w:rPr>
        <w:t>Standard 5 Service Access</w:t>
      </w:r>
    </w:p>
    <w:p w:rsidR="0073037B" w:rsidRPr="0073037B" w:rsidRDefault="0073037B" w:rsidP="0073037B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0"/>
        <w:ind w:left="1701" w:firstLine="0"/>
        <w:jc w:val="left"/>
        <w:rPr>
          <w:b/>
          <w:i/>
          <w:color w:val="auto"/>
          <w:spacing w:val="-3"/>
        </w:rPr>
      </w:pPr>
      <w:r w:rsidRPr="0073037B">
        <w:rPr>
          <w:color w:val="auto"/>
          <w:spacing w:val="-3"/>
        </w:rPr>
        <w:t>Standard 6 Service Management</w:t>
      </w:r>
    </w:p>
    <w:p w:rsidR="00674672" w:rsidRPr="00D557CB" w:rsidRDefault="00674672" w:rsidP="00D420CD">
      <w:pPr>
        <w:spacing w:before="400"/>
      </w:pPr>
      <w:r w:rsidRPr="00D557CB">
        <w:t>Review Details:</w:t>
      </w:r>
    </w:p>
    <w:tbl>
      <w:tblPr>
        <w:tblStyle w:val="TableGrid"/>
        <w:tblW w:w="9606" w:type="dxa"/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4961"/>
        <w:gridCol w:w="1843"/>
      </w:tblGrid>
      <w:tr w:rsidR="002A1321" w:rsidRPr="002A1321" w:rsidTr="002A1321">
        <w:tc>
          <w:tcPr>
            <w:tcW w:w="959" w:type="dxa"/>
          </w:tcPr>
          <w:p w:rsidR="002A1321" w:rsidRPr="002A1321" w:rsidRDefault="002A1321" w:rsidP="00E33ABA">
            <w:pPr>
              <w:jc w:val="center"/>
              <w:rPr>
                <w:b/>
                <w:i/>
                <w:sz w:val="20"/>
                <w:szCs w:val="20"/>
              </w:rPr>
            </w:pPr>
            <w:r w:rsidRPr="002A1321">
              <w:rPr>
                <w:b/>
                <w:i/>
                <w:sz w:val="20"/>
                <w:szCs w:val="20"/>
              </w:rPr>
              <w:t>Version No.</w:t>
            </w:r>
          </w:p>
        </w:tc>
        <w:tc>
          <w:tcPr>
            <w:tcW w:w="1843" w:type="dxa"/>
          </w:tcPr>
          <w:p w:rsidR="002A1321" w:rsidRPr="002A1321" w:rsidRDefault="002A1321" w:rsidP="00E33ABA">
            <w:pPr>
              <w:jc w:val="center"/>
              <w:rPr>
                <w:b/>
                <w:i/>
                <w:sz w:val="20"/>
                <w:szCs w:val="20"/>
              </w:rPr>
            </w:pPr>
            <w:r w:rsidRPr="002A1321">
              <w:rPr>
                <w:b/>
                <w:i/>
                <w:sz w:val="20"/>
                <w:szCs w:val="20"/>
              </w:rPr>
              <w:t>Details of Revision</w:t>
            </w:r>
          </w:p>
        </w:tc>
        <w:tc>
          <w:tcPr>
            <w:tcW w:w="4961" w:type="dxa"/>
          </w:tcPr>
          <w:p w:rsidR="002A1321" w:rsidRPr="002A1321" w:rsidRDefault="002A1321" w:rsidP="00E33ABA">
            <w:pPr>
              <w:jc w:val="center"/>
              <w:rPr>
                <w:b/>
                <w:i/>
                <w:sz w:val="20"/>
                <w:szCs w:val="20"/>
              </w:rPr>
            </w:pPr>
            <w:r w:rsidRPr="002A1321">
              <w:rPr>
                <w:b/>
                <w:i/>
                <w:sz w:val="20"/>
                <w:szCs w:val="20"/>
              </w:rPr>
              <w:t>Approval Date</w:t>
            </w:r>
          </w:p>
        </w:tc>
        <w:tc>
          <w:tcPr>
            <w:tcW w:w="1843" w:type="dxa"/>
          </w:tcPr>
          <w:p w:rsidR="002A1321" w:rsidRPr="002A1321" w:rsidRDefault="002A1321" w:rsidP="00E33ABA">
            <w:pPr>
              <w:jc w:val="center"/>
              <w:rPr>
                <w:b/>
                <w:i/>
                <w:sz w:val="20"/>
                <w:szCs w:val="20"/>
              </w:rPr>
            </w:pPr>
            <w:r w:rsidRPr="002A1321">
              <w:rPr>
                <w:b/>
                <w:i/>
                <w:sz w:val="20"/>
                <w:szCs w:val="20"/>
              </w:rPr>
              <w:t>Next Review Date</w:t>
            </w:r>
          </w:p>
        </w:tc>
      </w:tr>
      <w:tr w:rsidR="00674672" w:rsidRPr="000A32DA" w:rsidTr="002A1321">
        <w:tc>
          <w:tcPr>
            <w:tcW w:w="959" w:type="dxa"/>
          </w:tcPr>
          <w:p w:rsidR="00674672" w:rsidRPr="000A32DA" w:rsidRDefault="00674672" w:rsidP="00CC17FD">
            <w:pPr>
              <w:rPr>
                <w:i/>
                <w:sz w:val="20"/>
                <w:szCs w:val="20"/>
              </w:rPr>
            </w:pPr>
            <w:r w:rsidRPr="000A32DA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674672" w:rsidRPr="000A32DA" w:rsidRDefault="00674672" w:rsidP="00CC17FD">
            <w:pPr>
              <w:rPr>
                <w:i/>
                <w:sz w:val="20"/>
                <w:szCs w:val="20"/>
              </w:rPr>
            </w:pPr>
            <w:r w:rsidRPr="000A32DA">
              <w:rPr>
                <w:sz w:val="20"/>
                <w:szCs w:val="20"/>
              </w:rPr>
              <w:t>Original document</w:t>
            </w:r>
          </w:p>
        </w:tc>
        <w:tc>
          <w:tcPr>
            <w:tcW w:w="4961" w:type="dxa"/>
          </w:tcPr>
          <w:p w:rsidR="00674672" w:rsidRPr="000A32DA" w:rsidRDefault="00674672" w:rsidP="0073037B">
            <w:pPr>
              <w:rPr>
                <w:bCs/>
                <w:i/>
                <w:sz w:val="20"/>
                <w:szCs w:val="20"/>
              </w:rPr>
            </w:pPr>
            <w:r w:rsidRPr="000A32DA">
              <w:rPr>
                <w:sz w:val="20"/>
                <w:szCs w:val="20"/>
              </w:rPr>
              <w:t xml:space="preserve">Management Committee Meeting </w:t>
            </w:r>
            <w:r w:rsidR="00E339D2">
              <w:rPr>
                <w:sz w:val="20"/>
                <w:szCs w:val="20"/>
              </w:rPr>
              <w:t>April 2004</w:t>
            </w:r>
          </w:p>
        </w:tc>
        <w:tc>
          <w:tcPr>
            <w:tcW w:w="1843" w:type="dxa"/>
          </w:tcPr>
          <w:p w:rsidR="00674672" w:rsidRPr="009301B0" w:rsidRDefault="00E339D2" w:rsidP="00CC1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674672" w:rsidRPr="000A32DA" w:rsidTr="002A1321">
        <w:tc>
          <w:tcPr>
            <w:tcW w:w="959" w:type="dxa"/>
          </w:tcPr>
          <w:p w:rsidR="00674672" w:rsidRPr="000A32DA" w:rsidRDefault="00674672" w:rsidP="00CC17FD">
            <w:pPr>
              <w:rPr>
                <w:i/>
                <w:sz w:val="20"/>
                <w:szCs w:val="20"/>
              </w:rPr>
            </w:pPr>
            <w:r w:rsidRPr="000A32DA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674672" w:rsidRPr="000A32DA" w:rsidRDefault="00674672" w:rsidP="00CC17FD">
            <w:pPr>
              <w:rPr>
                <w:i/>
                <w:sz w:val="20"/>
                <w:szCs w:val="20"/>
              </w:rPr>
            </w:pPr>
            <w:r w:rsidRPr="000A32DA">
              <w:rPr>
                <w:sz w:val="20"/>
                <w:szCs w:val="20"/>
              </w:rPr>
              <w:t>Policy review</w:t>
            </w:r>
          </w:p>
        </w:tc>
        <w:tc>
          <w:tcPr>
            <w:tcW w:w="4961" w:type="dxa"/>
          </w:tcPr>
          <w:p w:rsidR="00674672" w:rsidRPr="000A32DA" w:rsidRDefault="00674672" w:rsidP="00C86DB9">
            <w:pPr>
              <w:rPr>
                <w:i/>
                <w:sz w:val="20"/>
                <w:szCs w:val="20"/>
              </w:rPr>
            </w:pPr>
            <w:r w:rsidRPr="000A32DA">
              <w:rPr>
                <w:sz w:val="20"/>
                <w:szCs w:val="20"/>
              </w:rPr>
              <w:t xml:space="preserve">Management Committee Meeting </w:t>
            </w:r>
            <w:r w:rsidR="00E339D2">
              <w:rPr>
                <w:sz w:val="20"/>
                <w:szCs w:val="20"/>
              </w:rPr>
              <w:t>November 2007</w:t>
            </w:r>
          </w:p>
        </w:tc>
        <w:tc>
          <w:tcPr>
            <w:tcW w:w="1843" w:type="dxa"/>
          </w:tcPr>
          <w:p w:rsidR="00674672" w:rsidRPr="009301B0" w:rsidRDefault="00E339D2" w:rsidP="00CC1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2008</w:t>
            </w:r>
          </w:p>
        </w:tc>
      </w:tr>
      <w:tr w:rsidR="00E339D2" w:rsidRPr="000A32DA" w:rsidTr="002A1321">
        <w:tc>
          <w:tcPr>
            <w:tcW w:w="959" w:type="dxa"/>
          </w:tcPr>
          <w:p w:rsidR="00E339D2" w:rsidRPr="000A32DA" w:rsidRDefault="00E339D2" w:rsidP="00E3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E339D2" w:rsidRPr="000A32DA" w:rsidRDefault="00E339D2" w:rsidP="00E339D2">
            <w:pPr>
              <w:rPr>
                <w:i/>
                <w:sz w:val="20"/>
                <w:szCs w:val="20"/>
              </w:rPr>
            </w:pPr>
            <w:r w:rsidRPr="000A32DA">
              <w:rPr>
                <w:sz w:val="20"/>
                <w:szCs w:val="20"/>
              </w:rPr>
              <w:t>Policy review</w:t>
            </w:r>
          </w:p>
        </w:tc>
        <w:tc>
          <w:tcPr>
            <w:tcW w:w="4961" w:type="dxa"/>
          </w:tcPr>
          <w:p w:rsidR="00E339D2" w:rsidRPr="000A32DA" w:rsidRDefault="00E339D2" w:rsidP="00E339D2">
            <w:pPr>
              <w:rPr>
                <w:i/>
                <w:sz w:val="20"/>
                <w:szCs w:val="20"/>
              </w:rPr>
            </w:pPr>
            <w:r w:rsidRPr="000A32DA">
              <w:rPr>
                <w:sz w:val="20"/>
                <w:szCs w:val="20"/>
              </w:rPr>
              <w:t xml:space="preserve">Management Committee Meeting </w:t>
            </w:r>
            <w:r>
              <w:rPr>
                <w:sz w:val="20"/>
                <w:szCs w:val="20"/>
              </w:rPr>
              <w:t>November 2012</w:t>
            </w:r>
          </w:p>
        </w:tc>
        <w:tc>
          <w:tcPr>
            <w:tcW w:w="1843" w:type="dxa"/>
          </w:tcPr>
          <w:p w:rsidR="00E339D2" w:rsidRDefault="00E339D2" w:rsidP="00E3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2013</w:t>
            </w:r>
          </w:p>
        </w:tc>
      </w:tr>
      <w:tr w:rsidR="00E339D2" w:rsidRPr="000A32DA" w:rsidTr="002A1321">
        <w:tc>
          <w:tcPr>
            <w:tcW w:w="959" w:type="dxa"/>
          </w:tcPr>
          <w:p w:rsidR="00E339D2" w:rsidRPr="000A32DA" w:rsidRDefault="00E339D2" w:rsidP="00E3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E339D2" w:rsidRPr="000A32DA" w:rsidRDefault="00E339D2" w:rsidP="00E339D2">
            <w:pPr>
              <w:rPr>
                <w:i/>
                <w:sz w:val="20"/>
                <w:szCs w:val="20"/>
              </w:rPr>
            </w:pPr>
            <w:r w:rsidRPr="000A32DA">
              <w:rPr>
                <w:sz w:val="20"/>
                <w:szCs w:val="20"/>
              </w:rPr>
              <w:t>Policy review</w:t>
            </w:r>
          </w:p>
        </w:tc>
        <w:tc>
          <w:tcPr>
            <w:tcW w:w="4961" w:type="dxa"/>
          </w:tcPr>
          <w:p w:rsidR="00E339D2" w:rsidRPr="000A32DA" w:rsidRDefault="00E339D2" w:rsidP="00E339D2">
            <w:pPr>
              <w:rPr>
                <w:i/>
                <w:sz w:val="20"/>
                <w:szCs w:val="20"/>
              </w:rPr>
            </w:pPr>
            <w:r w:rsidRPr="000A32DA">
              <w:rPr>
                <w:sz w:val="20"/>
                <w:szCs w:val="20"/>
              </w:rPr>
              <w:t xml:space="preserve">Management Committee Meeting </w:t>
            </w:r>
            <w:r>
              <w:rPr>
                <w:sz w:val="20"/>
                <w:szCs w:val="20"/>
              </w:rPr>
              <w:t>February 2013</w:t>
            </w:r>
          </w:p>
        </w:tc>
        <w:tc>
          <w:tcPr>
            <w:tcW w:w="1843" w:type="dxa"/>
          </w:tcPr>
          <w:p w:rsidR="00E339D2" w:rsidRDefault="00E339D2" w:rsidP="00E3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2014</w:t>
            </w:r>
          </w:p>
        </w:tc>
      </w:tr>
      <w:tr w:rsidR="00E339D2" w:rsidRPr="000A32DA" w:rsidTr="002A1321">
        <w:tc>
          <w:tcPr>
            <w:tcW w:w="959" w:type="dxa"/>
          </w:tcPr>
          <w:p w:rsidR="00E339D2" w:rsidRPr="000A32DA" w:rsidRDefault="00E339D2" w:rsidP="00E3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E339D2" w:rsidRPr="000A32DA" w:rsidRDefault="00E339D2" w:rsidP="00E339D2">
            <w:pPr>
              <w:rPr>
                <w:i/>
                <w:sz w:val="20"/>
                <w:szCs w:val="20"/>
              </w:rPr>
            </w:pPr>
            <w:r w:rsidRPr="000A32DA">
              <w:rPr>
                <w:sz w:val="20"/>
                <w:szCs w:val="20"/>
              </w:rPr>
              <w:t>Policy review</w:t>
            </w:r>
          </w:p>
        </w:tc>
        <w:tc>
          <w:tcPr>
            <w:tcW w:w="4961" w:type="dxa"/>
          </w:tcPr>
          <w:p w:rsidR="00E339D2" w:rsidRPr="000A32DA" w:rsidRDefault="00E339D2" w:rsidP="00E339D2">
            <w:pPr>
              <w:rPr>
                <w:i/>
                <w:sz w:val="20"/>
                <w:szCs w:val="20"/>
              </w:rPr>
            </w:pPr>
            <w:r w:rsidRPr="000A32DA">
              <w:rPr>
                <w:sz w:val="20"/>
                <w:szCs w:val="20"/>
              </w:rPr>
              <w:t xml:space="preserve">Management Committee Meeting </w:t>
            </w:r>
            <w:r>
              <w:rPr>
                <w:sz w:val="20"/>
                <w:szCs w:val="20"/>
              </w:rPr>
              <w:t>June 2014</w:t>
            </w:r>
          </w:p>
        </w:tc>
        <w:tc>
          <w:tcPr>
            <w:tcW w:w="1843" w:type="dxa"/>
          </w:tcPr>
          <w:p w:rsidR="00E339D2" w:rsidRDefault="00E339D2" w:rsidP="00E3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2015</w:t>
            </w:r>
          </w:p>
        </w:tc>
      </w:tr>
      <w:tr w:rsidR="00E339D2" w:rsidRPr="000A32DA" w:rsidTr="002A1321">
        <w:tc>
          <w:tcPr>
            <w:tcW w:w="959" w:type="dxa"/>
          </w:tcPr>
          <w:p w:rsidR="00E339D2" w:rsidRDefault="00E339D2" w:rsidP="00E3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E339D2" w:rsidRPr="000A32DA" w:rsidRDefault="00E339D2" w:rsidP="00E339D2">
            <w:pPr>
              <w:rPr>
                <w:i/>
                <w:sz w:val="20"/>
                <w:szCs w:val="20"/>
              </w:rPr>
            </w:pPr>
            <w:r w:rsidRPr="000A32DA">
              <w:rPr>
                <w:sz w:val="20"/>
                <w:szCs w:val="20"/>
              </w:rPr>
              <w:t>Policy review</w:t>
            </w:r>
          </w:p>
        </w:tc>
        <w:tc>
          <w:tcPr>
            <w:tcW w:w="4961" w:type="dxa"/>
          </w:tcPr>
          <w:p w:rsidR="00E339D2" w:rsidRPr="000A32DA" w:rsidRDefault="00E339D2" w:rsidP="00E339D2">
            <w:pPr>
              <w:rPr>
                <w:i/>
                <w:sz w:val="20"/>
                <w:szCs w:val="20"/>
              </w:rPr>
            </w:pPr>
            <w:r w:rsidRPr="000A32DA">
              <w:rPr>
                <w:sz w:val="20"/>
                <w:szCs w:val="20"/>
              </w:rPr>
              <w:t xml:space="preserve">Management Committee Meeting </w:t>
            </w:r>
            <w:r>
              <w:rPr>
                <w:sz w:val="20"/>
                <w:szCs w:val="20"/>
              </w:rPr>
              <w:t>February 2015</w:t>
            </w:r>
          </w:p>
        </w:tc>
        <w:tc>
          <w:tcPr>
            <w:tcW w:w="1843" w:type="dxa"/>
          </w:tcPr>
          <w:p w:rsidR="00E339D2" w:rsidRDefault="00E339D2" w:rsidP="00E3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2016</w:t>
            </w:r>
          </w:p>
        </w:tc>
      </w:tr>
      <w:tr w:rsidR="00E339D2" w:rsidRPr="000A32DA" w:rsidTr="002A1321">
        <w:tc>
          <w:tcPr>
            <w:tcW w:w="959" w:type="dxa"/>
          </w:tcPr>
          <w:p w:rsidR="00E339D2" w:rsidRDefault="00E339D2" w:rsidP="00E3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E339D2" w:rsidRPr="000A32DA" w:rsidRDefault="00E339D2" w:rsidP="00E339D2">
            <w:pPr>
              <w:rPr>
                <w:i/>
                <w:sz w:val="20"/>
                <w:szCs w:val="20"/>
              </w:rPr>
            </w:pPr>
            <w:r w:rsidRPr="000A32DA">
              <w:rPr>
                <w:sz w:val="20"/>
                <w:szCs w:val="20"/>
              </w:rPr>
              <w:t>Policy review</w:t>
            </w:r>
          </w:p>
        </w:tc>
        <w:tc>
          <w:tcPr>
            <w:tcW w:w="4961" w:type="dxa"/>
          </w:tcPr>
          <w:p w:rsidR="00E339D2" w:rsidRPr="000A32DA" w:rsidRDefault="00E339D2" w:rsidP="00E339D2">
            <w:pPr>
              <w:rPr>
                <w:i/>
                <w:sz w:val="20"/>
                <w:szCs w:val="20"/>
              </w:rPr>
            </w:pPr>
            <w:r w:rsidRPr="000A32DA">
              <w:rPr>
                <w:sz w:val="20"/>
                <w:szCs w:val="20"/>
              </w:rPr>
              <w:t xml:space="preserve">Management Committee Meeting </w:t>
            </w:r>
            <w:r>
              <w:rPr>
                <w:sz w:val="20"/>
                <w:szCs w:val="20"/>
              </w:rPr>
              <w:t>May 2017</w:t>
            </w:r>
          </w:p>
        </w:tc>
        <w:tc>
          <w:tcPr>
            <w:tcW w:w="1843" w:type="dxa"/>
          </w:tcPr>
          <w:p w:rsidR="00E339D2" w:rsidRDefault="00E339D2" w:rsidP="00E3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2018</w:t>
            </w:r>
          </w:p>
        </w:tc>
      </w:tr>
      <w:tr w:rsidR="007A5067" w:rsidRPr="000A32DA" w:rsidTr="002A1321">
        <w:tc>
          <w:tcPr>
            <w:tcW w:w="959" w:type="dxa"/>
          </w:tcPr>
          <w:p w:rsidR="007A5067" w:rsidRDefault="007A5067" w:rsidP="007A5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843" w:type="dxa"/>
          </w:tcPr>
          <w:p w:rsidR="007A5067" w:rsidRPr="000A32DA" w:rsidRDefault="007A5067" w:rsidP="007A5067">
            <w:pPr>
              <w:rPr>
                <w:i/>
                <w:sz w:val="20"/>
                <w:szCs w:val="20"/>
              </w:rPr>
            </w:pPr>
            <w:r w:rsidRPr="000A32DA">
              <w:rPr>
                <w:sz w:val="20"/>
                <w:szCs w:val="20"/>
              </w:rPr>
              <w:t>Policy review</w:t>
            </w:r>
          </w:p>
        </w:tc>
        <w:tc>
          <w:tcPr>
            <w:tcW w:w="4961" w:type="dxa"/>
          </w:tcPr>
          <w:p w:rsidR="007A5067" w:rsidRPr="000A32DA" w:rsidRDefault="007A5067" w:rsidP="007A5067">
            <w:pPr>
              <w:rPr>
                <w:i/>
                <w:sz w:val="20"/>
                <w:szCs w:val="20"/>
              </w:rPr>
            </w:pPr>
            <w:r w:rsidRPr="000A32DA">
              <w:rPr>
                <w:sz w:val="20"/>
                <w:szCs w:val="20"/>
              </w:rPr>
              <w:t xml:space="preserve">Management Committee Meeting </w:t>
            </w:r>
            <w:r>
              <w:rPr>
                <w:sz w:val="20"/>
                <w:szCs w:val="20"/>
              </w:rPr>
              <w:t>May 2018</w:t>
            </w:r>
          </w:p>
        </w:tc>
        <w:tc>
          <w:tcPr>
            <w:tcW w:w="1843" w:type="dxa"/>
          </w:tcPr>
          <w:p w:rsidR="007A5067" w:rsidRDefault="007A5067" w:rsidP="007A5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2020</w:t>
            </w:r>
          </w:p>
        </w:tc>
      </w:tr>
    </w:tbl>
    <w:p w:rsidR="00C67762" w:rsidRDefault="00C67762" w:rsidP="00012B03"/>
    <w:p w:rsidR="00012B03" w:rsidRPr="00E339D2" w:rsidRDefault="00012B03" w:rsidP="00012B03">
      <w:pPr>
        <w:pStyle w:val="Heading2"/>
      </w:pPr>
      <w:r w:rsidRPr="00E339D2">
        <w:t xml:space="preserve">Commitment </w:t>
      </w:r>
      <w:r>
        <w:t>and Purpose</w:t>
      </w:r>
    </w:p>
    <w:p w:rsidR="00012B03" w:rsidRPr="00E339D2" w:rsidRDefault="00012B03" w:rsidP="00012B03">
      <w:pPr>
        <w:widowControl/>
        <w:autoSpaceDE/>
        <w:autoSpaceDN/>
        <w:adjustRightInd/>
        <w:spacing w:after="60"/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>IATI</w:t>
      </w:r>
      <w:r w:rsidRPr="00E339D2">
        <w:rPr>
          <w:rFonts w:cs="Times New Roman"/>
          <w:color w:val="auto"/>
          <w:szCs w:val="20"/>
        </w:rPr>
        <w:t xml:space="preserve"> is committed to: </w:t>
      </w:r>
    </w:p>
    <w:p w:rsidR="00012B03" w:rsidRPr="00E339D2" w:rsidRDefault="00012B03" w:rsidP="00012B03">
      <w:pPr>
        <w:widowControl/>
        <w:numPr>
          <w:ilvl w:val="0"/>
          <w:numId w:val="28"/>
        </w:numPr>
        <w:autoSpaceDE/>
        <w:autoSpaceDN/>
        <w:adjustRightInd/>
        <w:spacing w:after="60"/>
        <w:ind w:left="567" w:hanging="567"/>
        <w:rPr>
          <w:color w:val="auto"/>
        </w:rPr>
      </w:pPr>
      <w:r w:rsidRPr="00E339D2">
        <w:rPr>
          <w:color w:val="auto"/>
        </w:rPr>
        <w:t>recognising a person's right to make complaints, comments or suggestions about the level and quality of services provided;</w:t>
      </w:r>
    </w:p>
    <w:p w:rsidR="00012B03" w:rsidRPr="00E339D2" w:rsidRDefault="00012B03" w:rsidP="00012B03">
      <w:pPr>
        <w:widowControl/>
        <w:numPr>
          <w:ilvl w:val="0"/>
          <w:numId w:val="28"/>
        </w:numPr>
        <w:autoSpaceDE/>
        <w:autoSpaceDN/>
        <w:adjustRightInd/>
        <w:spacing w:after="60"/>
        <w:ind w:left="567" w:hanging="567"/>
        <w:rPr>
          <w:color w:val="auto"/>
        </w:rPr>
      </w:pPr>
      <w:r w:rsidRPr="00E339D2">
        <w:rPr>
          <w:color w:val="auto"/>
        </w:rPr>
        <w:t>encouraging the submission of any complaints people may have with services provided;</w:t>
      </w:r>
    </w:p>
    <w:p w:rsidR="00012B03" w:rsidRPr="00E339D2" w:rsidRDefault="00012B03" w:rsidP="00012B03">
      <w:pPr>
        <w:widowControl/>
        <w:numPr>
          <w:ilvl w:val="0"/>
          <w:numId w:val="28"/>
        </w:numPr>
        <w:autoSpaceDE/>
        <w:autoSpaceDN/>
        <w:adjustRightInd/>
        <w:spacing w:after="60"/>
        <w:ind w:left="567" w:hanging="567"/>
        <w:rPr>
          <w:color w:val="auto"/>
        </w:rPr>
      </w:pPr>
      <w:r w:rsidRPr="00E339D2">
        <w:rPr>
          <w:color w:val="auto"/>
        </w:rPr>
        <w:t>providing an efficient, fair and accessible mechanism for resolving complaints;</w:t>
      </w:r>
    </w:p>
    <w:p w:rsidR="00012B03" w:rsidRPr="00E339D2" w:rsidRDefault="00012B03" w:rsidP="00012B03">
      <w:pPr>
        <w:widowControl/>
        <w:numPr>
          <w:ilvl w:val="0"/>
          <w:numId w:val="28"/>
        </w:numPr>
        <w:autoSpaceDE/>
        <w:autoSpaceDN/>
        <w:adjustRightInd/>
        <w:spacing w:after="60"/>
        <w:ind w:left="567" w:hanging="567"/>
        <w:rPr>
          <w:color w:val="auto"/>
        </w:rPr>
      </w:pPr>
      <w:r w:rsidRPr="00E339D2">
        <w:rPr>
          <w:color w:val="auto"/>
        </w:rPr>
        <w:t>ensuring that all complaints are heard and equitably resolved as soon as possible;</w:t>
      </w:r>
    </w:p>
    <w:p w:rsidR="00012B03" w:rsidRPr="00E339D2" w:rsidRDefault="00012B03" w:rsidP="00012B03">
      <w:pPr>
        <w:widowControl/>
        <w:numPr>
          <w:ilvl w:val="0"/>
          <w:numId w:val="28"/>
        </w:numPr>
        <w:autoSpaceDE/>
        <w:autoSpaceDN/>
        <w:adjustRightInd/>
        <w:spacing w:after="60"/>
        <w:ind w:left="567" w:hanging="567"/>
        <w:rPr>
          <w:color w:val="auto"/>
        </w:rPr>
      </w:pPr>
      <w:r w:rsidRPr="00E339D2">
        <w:rPr>
          <w:color w:val="auto"/>
        </w:rPr>
        <w:t>ensuring individuals have no fear of retributive action when raising complaints</w:t>
      </w:r>
    </w:p>
    <w:p w:rsidR="00012B03" w:rsidRPr="00E339D2" w:rsidRDefault="00012B03" w:rsidP="00012B03">
      <w:pPr>
        <w:widowControl/>
        <w:numPr>
          <w:ilvl w:val="0"/>
          <w:numId w:val="28"/>
        </w:numPr>
        <w:autoSpaceDE/>
        <w:autoSpaceDN/>
        <w:adjustRightInd/>
        <w:spacing w:after="60"/>
        <w:ind w:left="567" w:hanging="567"/>
        <w:rPr>
          <w:color w:val="auto"/>
        </w:rPr>
      </w:pPr>
      <w:r w:rsidRPr="00E339D2">
        <w:rPr>
          <w:color w:val="auto"/>
        </w:rPr>
        <w:t>monitoring complaints in an endeavour to improve the quality of services;</w:t>
      </w:r>
    </w:p>
    <w:p w:rsidR="00012B03" w:rsidRPr="00E339D2" w:rsidRDefault="00012B03" w:rsidP="00012B03">
      <w:pPr>
        <w:widowControl/>
        <w:numPr>
          <w:ilvl w:val="0"/>
          <w:numId w:val="28"/>
        </w:numPr>
        <w:autoSpaceDE/>
        <w:autoSpaceDN/>
        <w:adjustRightInd/>
        <w:spacing w:after="60"/>
        <w:ind w:left="567" w:hanging="567"/>
        <w:rPr>
          <w:color w:val="auto"/>
        </w:rPr>
      </w:pPr>
      <w:r w:rsidRPr="00E339D2">
        <w:rPr>
          <w:color w:val="auto"/>
        </w:rPr>
        <w:t>providing people with information about the complaint handling process; and</w:t>
      </w:r>
    </w:p>
    <w:p w:rsidR="00012B03" w:rsidRPr="00E339D2" w:rsidRDefault="00012B03" w:rsidP="00012B03">
      <w:pPr>
        <w:widowControl/>
        <w:numPr>
          <w:ilvl w:val="0"/>
          <w:numId w:val="28"/>
        </w:numPr>
        <w:autoSpaceDE/>
        <w:autoSpaceDN/>
        <w:adjustRightInd/>
        <w:ind w:left="567" w:hanging="567"/>
        <w:rPr>
          <w:color w:val="auto"/>
        </w:rPr>
      </w:pPr>
      <w:r w:rsidRPr="00E339D2">
        <w:rPr>
          <w:color w:val="auto"/>
        </w:rPr>
        <w:t>promoting a positive attitude towards people and the commitment to resolving complaints.</w:t>
      </w:r>
    </w:p>
    <w:p w:rsidR="00012B03" w:rsidRPr="00E339D2" w:rsidRDefault="00012B03" w:rsidP="00012B03">
      <w:pPr>
        <w:rPr>
          <w:rFonts w:cs="Times New Roman"/>
          <w:color w:val="auto"/>
          <w:szCs w:val="20"/>
        </w:rPr>
      </w:pPr>
      <w:r w:rsidRPr="00E339D2">
        <w:t>The purpose of this policy is to establish a general complaint handling process in respect to services provided to any external parties</w:t>
      </w:r>
      <w:r>
        <w:t xml:space="preserve">.  </w:t>
      </w:r>
      <w:r w:rsidRPr="00E339D2">
        <w:rPr>
          <w:rFonts w:cs="Times New Roman"/>
          <w:color w:val="auto"/>
          <w:szCs w:val="20"/>
        </w:rPr>
        <w:t xml:space="preserve">The </w:t>
      </w:r>
      <w:r w:rsidRPr="00E339D2">
        <w:rPr>
          <w:color w:val="auto"/>
          <w:szCs w:val="20"/>
        </w:rPr>
        <w:t>aim</w:t>
      </w:r>
      <w:r w:rsidRPr="00E339D2">
        <w:rPr>
          <w:rFonts w:cs="Times New Roman"/>
          <w:color w:val="auto"/>
          <w:szCs w:val="20"/>
        </w:rPr>
        <w:t xml:space="preserve"> of the policy is to: </w:t>
      </w:r>
    </w:p>
    <w:p w:rsidR="00012B03" w:rsidRPr="00E339D2" w:rsidRDefault="00012B03" w:rsidP="00012B03">
      <w:pPr>
        <w:widowControl/>
        <w:numPr>
          <w:ilvl w:val="0"/>
          <w:numId w:val="34"/>
        </w:numPr>
        <w:autoSpaceDE/>
        <w:autoSpaceDN/>
        <w:adjustRightInd/>
        <w:spacing w:after="60"/>
        <w:ind w:left="567" w:hanging="567"/>
        <w:jc w:val="left"/>
        <w:rPr>
          <w:color w:val="auto"/>
          <w:szCs w:val="20"/>
        </w:rPr>
      </w:pPr>
      <w:r w:rsidRPr="00E339D2">
        <w:rPr>
          <w:color w:val="auto"/>
          <w:szCs w:val="20"/>
        </w:rPr>
        <w:t>support the provision of the highest possible quality service to clients;</w:t>
      </w:r>
    </w:p>
    <w:p w:rsidR="00012B03" w:rsidRPr="00E339D2" w:rsidRDefault="00012B03" w:rsidP="00012B03">
      <w:pPr>
        <w:widowControl/>
        <w:numPr>
          <w:ilvl w:val="0"/>
          <w:numId w:val="34"/>
        </w:numPr>
        <w:autoSpaceDE/>
        <w:autoSpaceDN/>
        <w:adjustRightInd/>
        <w:spacing w:after="60"/>
        <w:ind w:left="567" w:hanging="567"/>
        <w:jc w:val="left"/>
        <w:rPr>
          <w:color w:val="auto"/>
          <w:szCs w:val="20"/>
        </w:rPr>
      </w:pPr>
      <w:r w:rsidRPr="00E339D2">
        <w:rPr>
          <w:color w:val="auto"/>
          <w:szCs w:val="20"/>
        </w:rPr>
        <w:t>increase the level of client satis</w:t>
      </w:r>
      <w:r>
        <w:rPr>
          <w:color w:val="auto"/>
          <w:szCs w:val="20"/>
        </w:rPr>
        <w:t xml:space="preserve">faction with the delivery of </w:t>
      </w:r>
      <w:r w:rsidRPr="00E339D2">
        <w:rPr>
          <w:color w:val="auto"/>
          <w:szCs w:val="20"/>
        </w:rPr>
        <w:t xml:space="preserve">services; </w:t>
      </w:r>
    </w:p>
    <w:p w:rsidR="00012B03" w:rsidRPr="00E339D2" w:rsidRDefault="00012B03" w:rsidP="00012B03">
      <w:pPr>
        <w:widowControl/>
        <w:numPr>
          <w:ilvl w:val="0"/>
          <w:numId w:val="34"/>
        </w:numPr>
        <w:autoSpaceDE/>
        <w:autoSpaceDN/>
        <w:adjustRightInd/>
        <w:spacing w:after="60"/>
        <w:ind w:left="567" w:hanging="567"/>
        <w:jc w:val="left"/>
        <w:rPr>
          <w:color w:val="auto"/>
          <w:szCs w:val="20"/>
        </w:rPr>
      </w:pPr>
      <w:r w:rsidRPr="00E339D2">
        <w:rPr>
          <w:color w:val="auto"/>
          <w:szCs w:val="20"/>
        </w:rPr>
        <w:t>enhance our relationship with clients and other parties, including the general public.</w:t>
      </w:r>
    </w:p>
    <w:p w:rsidR="00012B03" w:rsidRPr="00E339D2" w:rsidRDefault="00012B03" w:rsidP="00012B03">
      <w:pPr>
        <w:widowControl/>
        <w:numPr>
          <w:ilvl w:val="0"/>
          <w:numId w:val="34"/>
        </w:numPr>
        <w:autoSpaceDE/>
        <w:autoSpaceDN/>
        <w:adjustRightInd/>
        <w:ind w:left="567" w:hanging="567"/>
        <w:jc w:val="left"/>
        <w:rPr>
          <w:color w:val="auto"/>
          <w:szCs w:val="20"/>
        </w:rPr>
      </w:pPr>
      <w:r w:rsidRPr="00E339D2">
        <w:rPr>
          <w:color w:val="auto"/>
          <w:szCs w:val="20"/>
        </w:rPr>
        <w:t>enable ongoing improvement of service provision</w:t>
      </w:r>
    </w:p>
    <w:p w:rsidR="00954EEA" w:rsidRDefault="00954EEA" w:rsidP="00012B03">
      <w:pPr>
        <w:pStyle w:val="Heading2"/>
      </w:pPr>
      <w:r>
        <w:lastRenderedPageBreak/>
        <w:t>Definitions</w:t>
      </w:r>
    </w:p>
    <w:p w:rsidR="007A5067" w:rsidRPr="007A5067" w:rsidRDefault="007A5067" w:rsidP="007A5067">
      <w:r w:rsidRPr="007A5067">
        <w:rPr>
          <w:b/>
        </w:rPr>
        <w:t>“CEO”</w:t>
      </w:r>
      <w:r w:rsidRPr="007A5067">
        <w:t xml:space="preserve"> means the Chief Executive Officer of Independent Advocacy in the Tropics Inc, including all its registered Business Names.</w:t>
      </w:r>
    </w:p>
    <w:p w:rsidR="007A5067" w:rsidRPr="007A5067" w:rsidRDefault="007A5067" w:rsidP="007A5067">
      <w:pPr>
        <w:widowControl/>
        <w:autoSpaceDE/>
        <w:autoSpaceDN/>
        <w:adjustRightInd/>
        <w:spacing w:before="120"/>
        <w:rPr>
          <w:color w:val="auto"/>
        </w:rPr>
      </w:pPr>
      <w:r w:rsidRPr="007A5067">
        <w:rPr>
          <w:b/>
          <w:color w:val="auto"/>
        </w:rPr>
        <w:t>“Complaint”</w:t>
      </w:r>
      <w:r w:rsidRPr="007A5067">
        <w:rPr>
          <w:color w:val="auto"/>
        </w:rPr>
        <w:t xml:space="preserve"> - a</w:t>
      </w:r>
      <w:r w:rsidRPr="007A5067">
        <w:rPr>
          <w:rFonts w:cs="Times New Roman"/>
          <w:color w:val="auto"/>
          <w:szCs w:val="20"/>
        </w:rPr>
        <w:t xml:space="preserve">ny expression of dissatisfaction, concern or other feedback made to IATI by, or on behalf of, an individual client, group (including other organisations) or member of the public, </w:t>
      </w:r>
      <w:r w:rsidRPr="007A5067">
        <w:rPr>
          <w:color w:val="auto"/>
        </w:rPr>
        <w:t xml:space="preserve">related to IATI's services, or the complaints handling process itself. </w:t>
      </w:r>
    </w:p>
    <w:p w:rsidR="007A5067" w:rsidRPr="007A5067" w:rsidRDefault="007A5067" w:rsidP="007A5067">
      <w:pPr>
        <w:spacing w:after="60"/>
        <w:rPr>
          <w:rFonts w:cs="Times New Roman"/>
          <w:szCs w:val="20"/>
        </w:rPr>
      </w:pPr>
      <w:r w:rsidRPr="007A5067">
        <w:t>This does not include expressions of dissatisfaction, concerns or complaints received in respect to:</w:t>
      </w:r>
    </w:p>
    <w:p w:rsidR="007A5067" w:rsidRPr="00E339D2" w:rsidRDefault="007A5067" w:rsidP="007A5067">
      <w:pPr>
        <w:widowControl/>
        <w:numPr>
          <w:ilvl w:val="0"/>
          <w:numId w:val="37"/>
        </w:numPr>
        <w:autoSpaceDE/>
        <w:autoSpaceDN/>
        <w:adjustRightInd/>
        <w:spacing w:after="60"/>
        <w:ind w:left="567" w:hanging="567"/>
        <w:rPr>
          <w:color w:val="auto"/>
        </w:rPr>
      </w:pPr>
      <w:r w:rsidRPr="00E339D2">
        <w:rPr>
          <w:color w:val="auto"/>
        </w:rPr>
        <w:t xml:space="preserve">Government policies and/or legislation </w:t>
      </w:r>
      <w:r w:rsidRPr="00E339D2">
        <w:rPr>
          <w:i/>
          <w:color w:val="auto"/>
        </w:rPr>
        <w:t xml:space="preserve">(Note: Information of this nature will be monitored and </w:t>
      </w:r>
      <w:r>
        <w:rPr>
          <w:i/>
          <w:color w:val="auto"/>
        </w:rPr>
        <w:t>where considered relevant by IATI</w:t>
      </w:r>
      <w:r w:rsidRPr="00E339D2">
        <w:rPr>
          <w:i/>
          <w:color w:val="auto"/>
        </w:rPr>
        <w:t xml:space="preserve"> passed on to the respective policy makers for their information or the complainant will be referred to the relevant agency/person)</w:t>
      </w:r>
      <w:r w:rsidRPr="00E339D2">
        <w:rPr>
          <w:color w:val="auto"/>
        </w:rPr>
        <w:t xml:space="preserve">; or </w:t>
      </w:r>
    </w:p>
    <w:p w:rsidR="007A5067" w:rsidRPr="00E339D2" w:rsidRDefault="007A5067" w:rsidP="007A5067">
      <w:pPr>
        <w:widowControl/>
        <w:numPr>
          <w:ilvl w:val="0"/>
          <w:numId w:val="37"/>
        </w:numPr>
        <w:autoSpaceDE/>
        <w:autoSpaceDN/>
        <w:adjustRightInd/>
        <w:spacing w:after="60"/>
        <w:ind w:left="567" w:hanging="567"/>
        <w:rPr>
          <w:color w:val="auto"/>
        </w:rPr>
      </w:pPr>
      <w:r w:rsidRPr="00E339D2">
        <w:rPr>
          <w:color w:val="auto"/>
        </w:rPr>
        <w:t xml:space="preserve">Complaints that are covered by other formal procedures, such as the following, </w:t>
      </w:r>
      <w:r>
        <w:rPr>
          <w:color w:val="auto"/>
        </w:rPr>
        <w:t xml:space="preserve">and </w:t>
      </w:r>
      <w:r w:rsidRPr="00E339D2">
        <w:rPr>
          <w:color w:val="auto"/>
        </w:rPr>
        <w:t>shall be dealt with separately in accordance with the relevant procedures:</w:t>
      </w:r>
    </w:p>
    <w:p w:rsidR="007A5067" w:rsidRPr="00E339D2" w:rsidRDefault="007A5067" w:rsidP="007A5067">
      <w:pPr>
        <w:widowControl/>
        <w:numPr>
          <w:ilvl w:val="0"/>
          <w:numId w:val="35"/>
        </w:numPr>
        <w:autoSpaceDE/>
        <w:autoSpaceDN/>
        <w:adjustRightInd/>
        <w:spacing w:after="60"/>
        <w:ind w:left="1134" w:hanging="567"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>Complaints of discrimination and harassment that are dealt with under relevant Commonwealth or Queensland legislation,</w:t>
      </w:r>
    </w:p>
    <w:p w:rsidR="007A5067" w:rsidRPr="00E339D2" w:rsidRDefault="007A5067" w:rsidP="007A5067">
      <w:pPr>
        <w:widowControl/>
        <w:numPr>
          <w:ilvl w:val="0"/>
          <w:numId w:val="35"/>
        </w:numPr>
        <w:autoSpaceDE/>
        <w:autoSpaceDN/>
        <w:adjustRightInd/>
        <w:spacing w:after="60"/>
        <w:ind w:left="1134" w:hanging="567"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>Complaints of breach of privacy that are dealt with under relevant Commonwealth or Queensland legislation; and</w:t>
      </w:r>
    </w:p>
    <w:p w:rsidR="007A5067" w:rsidRPr="00E339D2" w:rsidRDefault="007A5067" w:rsidP="007A5067">
      <w:pPr>
        <w:widowControl/>
        <w:numPr>
          <w:ilvl w:val="0"/>
          <w:numId w:val="35"/>
        </w:numPr>
        <w:autoSpaceDE/>
        <w:autoSpaceDN/>
        <w:adjustRightInd/>
        <w:spacing w:before="120"/>
        <w:ind w:left="1134" w:hanging="567"/>
        <w:contextualSpacing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 xml:space="preserve">The review processes available under the Commonwealth and Queensland Freedom of Information legislation. </w:t>
      </w:r>
    </w:p>
    <w:p w:rsidR="007A5067" w:rsidRPr="007A5067" w:rsidRDefault="007A5067" w:rsidP="007A5067">
      <w:r w:rsidRPr="007A5067">
        <w:rPr>
          <w:b/>
        </w:rPr>
        <w:t>“IATI”</w:t>
      </w:r>
      <w:r w:rsidRPr="007A5067">
        <w:t xml:space="preserve"> means Independent Advocacy in the Tropics Inc. including all its registered Business Names. </w:t>
      </w:r>
    </w:p>
    <w:p w:rsidR="00E339D2" w:rsidRPr="007A5067" w:rsidRDefault="00954EEA" w:rsidP="007A5067">
      <w:r w:rsidRPr="007A5067">
        <w:rPr>
          <w:b/>
        </w:rPr>
        <w:t>“</w:t>
      </w:r>
      <w:r w:rsidR="00E339D2" w:rsidRPr="007A5067">
        <w:rPr>
          <w:b/>
        </w:rPr>
        <w:t>External Parties</w:t>
      </w:r>
      <w:r w:rsidRPr="007A5067">
        <w:rPr>
          <w:b/>
        </w:rPr>
        <w:t>”</w:t>
      </w:r>
      <w:r w:rsidRPr="007A5067">
        <w:t xml:space="preserve"> - </w:t>
      </w:r>
      <w:r w:rsidR="00E339D2" w:rsidRPr="007A5067">
        <w:t xml:space="preserve">defined as any person or group who is not employed by, or </w:t>
      </w:r>
      <w:r w:rsidR="00972CAE" w:rsidRPr="007A5067">
        <w:t xml:space="preserve">a </w:t>
      </w:r>
      <w:r w:rsidR="00E339D2" w:rsidRPr="007A5067">
        <w:t>member of</w:t>
      </w:r>
      <w:r w:rsidR="00E33ABA" w:rsidRPr="007A5067">
        <w:t xml:space="preserve"> IATI</w:t>
      </w:r>
      <w:r w:rsidR="00E339D2" w:rsidRPr="007A5067">
        <w:t xml:space="preserve"> and is receiving a service from </w:t>
      </w:r>
      <w:r w:rsidR="00E33ABA" w:rsidRPr="007A5067">
        <w:t>IATI</w:t>
      </w:r>
      <w:r w:rsidRPr="007A5067">
        <w:t>.</w:t>
      </w:r>
    </w:p>
    <w:p w:rsidR="007C6FE6" w:rsidRDefault="007C6FE6" w:rsidP="00012B03">
      <w:pPr>
        <w:pStyle w:val="Heading2"/>
      </w:pPr>
      <w:r>
        <w:t>Policy</w:t>
      </w:r>
    </w:p>
    <w:p w:rsidR="007C6FE6" w:rsidRPr="00E339D2" w:rsidRDefault="007C6FE6" w:rsidP="001F7393">
      <w:pPr>
        <w:widowControl/>
        <w:autoSpaceDE/>
        <w:autoSpaceDN/>
        <w:adjustRightInd/>
        <w:spacing w:after="60"/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 xml:space="preserve">In respect to any Complaint, </w:t>
      </w:r>
      <w:r w:rsidR="00735DEB">
        <w:rPr>
          <w:rFonts w:cs="Times New Roman"/>
          <w:color w:val="auto"/>
          <w:szCs w:val="20"/>
        </w:rPr>
        <w:t>IATI</w:t>
      </w:r>
      <w:r>
        <w:rPr>
          <w:rFonts w:cs="Times New Roman"/>
          <w:color w:val="auto"/>
          <w:szCs w:val="20"/>
        </w:rPr>
        <w:t xml:space="preserve"> will act accordingly in relation to</w:t>
      </w:r>
      <w:r w:rsidRPr="00E339D2">
        <w:rPr>
          <w:rFonts w:cs="Times New Roman"/>
          <w:color w:val="auto"/>
          <w:szCs w:val="20"/>
        </w:rPr>
        <w:t>:</w:t>
      </w:r>
    </w:p>
    <w:p w:rsidR="001F7393" w:rsidRPr="00E339D2" w:rsidRDefault="001F7393" w:rsidP="001F7393">
      <w:pPr>
        <w:widowControl/>
        <w:autoSpaceDE/>
        <w:autoSpaceDN/>
        <w:adjustRightInd/>
        <w:spacing w:after="60"/>
        <w:rPr>
          <w:color w:val="auto"/>
        </w:rPr>
      </w:pPr>
      <w:r w:rsidRPr="001F7393">
        <w:rPr>
          <w:b/>
          <w:color w:val="auto"/>
        </w:rPr>
        <w:t>Access</w:t>
      </w:r>
      <w:r w:rsidRPr="00E339D2">
        <w:rPr>
          <w:b/>
          <w:color w:val="auto"/>
        </w:rPr>
        <w:t>:</w:t>
      </w:r>
      <w:r w:rsidRPr="00E339D2">
        <w:rPr>
          <w:color w:val="auto"/>
        </w:rPr>
        <w:t xml:space="preserve">  Ensure the complaint process is availabl</w:t>
      </w:r>
      <w:r w:rsidR="00851F2B">
        <w:rPr>
          <w:color w:val="auto"/>
        </w:rPr>
        <w:t>e to al</w:t>
      </w:r>
      <w:r w:rsidR="00735DEB">
        <w:rPr>
          <w:color w:val="auto"/>
        </w:rPr>
        <w:t>l external parties of IATI</w:t>
      </w:r>
      <w:r w:rsidRPr="00E339D2">
        <w:rPr>
          <w:color w:val="auto"/>
        </w:rPr>
        <w:t>.</w:t>
      </w:r>
    </w:p>
    <w:p w:rsidR="001F7393" w:rsidRPr="00E339D2" w:rsidRDefault="001F7393" w:rsidP="001F7393">
      <w:pPr>
        <w:widowControl/>
        <w:autoSpaceDE/>
        <w:autoSpaceDN/>
        <w:adjustRightInd/>
        <w:spacing w:after="60"/>
        <w:rPr>
          <w:color w:val="auto"/>
        </w:rPr>
      </w:pPr>
      <w:r w:rsidRPr="001F7393">
        <w:rPr>
          <w:b/>
          <w:color w:val="auto"/>
        </w:rPr>
        <w:t>Accountability</w:t>
      </w:r>
      <w:r w:rsidRPr="00E339D2">
        <w:rPr>
          <w:b/>
          <w:color w:val="auto"/>
        </w:rPr>
        <w:t>:</w:t>
      </w:r>
      <w:r w:rsidRPr="00E339D2">
        <w:rPr>
          <w:color w:val="auto"/>
        </w:rPr>
        <w:t xml:space="preserve">  All employees shall take responsibility for effective complaints handling.  The Chief Executive Officer and Management Committee are responsible for implementing the policy and the procedures outlined in this document.</w:t>
      </w:r>
    </w:p>
    <w:p w:rsidR="001F7393" w:rsidRPr="00E339D2" w:rsidRDefault="001F7393" w:rsidP="001F7393">
      <w:pPr>
        <w:widowControl/>
        <w:autoSpaceDE/>
        <w:autoSpaceDN/>
        <w:adjustRightInd/>
        <w:spacing w:after="60"/>
        <w:rPr>
          <w:color w:val="auto"/>
        </w:rPr>
      </w:pPr>
      <w:r w:rsidRPr="001F7393">
        <w:rPr>
          <w:b/>
          <w:color w:val="auto"/>
        </w:rPr>
        <w:t>Assistance</w:t>
      </w:r>
      <w:r w:rsidRPr="00E339D2">
        <w:rPr>
          <w:b/>
          <w:color w:val="auto"/>
        </w:rPr>
        <w:t>:</w:t>
      </w:r>
      <w:r w:rsidRPr="00E339D2">
        <w:rPr>
          <w:color w:val="auto"/>
        </w:rPr>
        <w:t xml:space="preserve">  Provide assistance for complainants in the formulation and lodgement of complaints if requested. (E.g. this may include provision of a translator or assistance in completing complaint documentation etc.). This shall also include support of the individual accessing assistance through a nominated support person.</w:t>
      </w:r>
    </w:p>
    <w:p w:rsidR="001F7393" w:rsidRPr="00E339D2" w:rsidRDefault="001F7393" w:rsidP="001F7393">
      <w:pPr>
        <w:widowControl/>
        <w:autoSpaceDE/>
        <w:autoSpaceDN/>
        <w:adjustRightInd/>
        <w:spacing w:after="60"/>
        <w:rPr>
          <w:color w:val="auto"/>
        </w:rPr>
      </w:pPr>
      <w:r w:rsidRPr="001F7393">
        <w:rPr>
          <w:b/>
          <w:color w:val="auto"/>
        </w:rPr>
        <w:t>Data Collection</w:t>
      </w:r>
      <w:r w:rsidRPr="00E339D2">
        <w:rPr>
          <w:b/>
          <w:color w:val="auto"/>
        </w:rPr>
        <w:t>:</w:t>
      </w:r>
      <w:r w:rsidRPr="00E339D2">
        <w:rPr>
          <w:color w:val="auto"/>
        </w:rPr>
        <w:t xml:space="preserve">  Collect and record data on complaints lodged and outcomes to assist in the identification of systemic and recurring problems and/or potential improvements to service delivery.</w:t>
      </w:r>
    </w:p>
    <w:p w:rsidR="007C6FE6" w:rsidRPr="00E339D2" w:rsidRDefault="001F7393" w:rsidP="001F7393">
      <w:pPr>
        <w:widowControl/>
        <w:autoSpaceDE/>
        <w:autoSpaceDN/>
        <w:adjustRightInd/>
        <w:spacing w:after="60"/>
        <w:rPr>
          <w:color w:val="auto"/>
        </w:rPr>
      </w:pPr>
      <w:r w:rsidRPr="001F7393">
        <w:rPr>
          <w:b/>
          <w:color w:val="auto"/>
        </w:rPr>
        <w:t>F</w:t>
      </w:r>
      <w:r w:rsidR="007C6FE6" w:rsidRPr="001F7393">
        <w:rPr>
          <w:b/>
          <w:color w:val="auto"/>
        </w:rPr>
        <w:t>airness</w:t>
      </w:r>
      <w:r w:rsidR="007C6FE6" w:rsidRPr="00E339D2">
        <w:rPr>
          <w:b/>
          <w:color w:val="auto"/>
        </w:rPr>
        <w:t>:</w:t>
      </w:r>
      <w:r w:rsidR="007C6FE6" w:rsidRPr="00E339D2">
        <w:rPr>
          <w:color w:val="auto"/>
        </w:rPr>
        <w:t xml:space="preserve">  Recognise the need to be fair and equitable to </w:t>
      </w:r>
      <w:r w:rsidR="00851F2B">
        <w:rPr>
          <w:color w:val="auto"/>
        </w:rPr>
        <w:t>b</w:t>
      </w:r>
      <w:r w:rsidR="00735DEB">
        <w:rPr>
          <w:color w:val="auto"/>
        </w:rPr>
        <w:t>oth the complainant and the IATI</w:t>
      </w:r>
      <w:r w:rsidR="007C6FE6" w:rsidRPr="00E339D2">
        <w:rPr>
          <w:color w:val="auto"/>
        </w:rPr>
        <w:t xml:space="preserve"> person against whom the complaint is made.</w:t>
      </w:r>
    </w:p>
    <w:p w:rsidR="00012B03" w:rsidRPr="00E339D2" w:rsidRDefault="00012B03" w:rsidP="00012B03">
      <w:pPr>
        <w:widowControl/>
        <w:autoSpaceDE/>
        <w:autoSpaceDN/>
        <w:adjustRightInd/>
        <w:spacing w:after="60"/>
        <w:rPr>
          <w:color w:val="auto"/>
        </w:rPr>
      </w:pPr>
      <w:r w:rsidRPr="001F7393">
        <w:rPr>
          <w:b/>
          <w:color w:val="auto"/>
        </w:rPr>
        <w:t>Remedies</w:t>
      </w:r>
      <w:r w:rsidRPr="00E339D2">
        <w:rPr>
          <w:b/>
          <w:color w:val="auto"/>
        </w:rPr>
        <w:t>:</w:t>
      </w:r>
      <w:r>
        <w:rPr>
          <w:color w:val="auto"/>
        </w:rPr>
        <w:t xml:space="preserve">  IATI</w:t>
      </w:r>
      <w:r w:rsidRPr="00E339D2">
        <w:rPr>
          <w:color w:val="auto"/>
        </w:rPr>
        <w:t xml:space="preserve"> will review the need to develop remedies that are fair and reasonable in the circumstances, to meet any legal obligations and generally comply with good management principles and practice.</w:t>
      </w:r>
    </w:p>
    <w:p w:rsidR="007C6FE6" w:rsidRPr="00E339D2" w:rsidRDefault="007C6FE6" w:rsidP="001F7393">
      <w:pPr>
        <w:widowControl/>
        <w:autoSpaceDE/>
        <w:autoSpaceDN/>
        <w:adjustRightInd/>
        <w:spacing w:after="60"/>
        <w:rPr>
          <w:color w:val="auto"/>
        </w:rPr>
      </w:pPr>
      <w:r w:rsidRPr="001F7393">
        <w:rPr>
          <w:b/>
          <w:color w:val="auto"/>
        </w:rPr>
        <w:t>Resources</w:t>
      </w:r>
      <w:r w:rsidRPr="00E339D2">
        <w:rPr>
          <w:b/>
          <w:color w:val="auto"/>
        </w:rPr>
        <w:t>:</w:t>
      </w:r>
      <w:r w:rsidRPr="00E339D2">
        <w:rPr>
          <w:color w:val="auto"/>
        </w:rPr>
        <w:t xml:space="preserve">  Provide adequate resources with sufficient levels of delegated authority to ensure complaints received are addressed and concluded in a timely manner.</w:t>
      </w:r>
    </w:p>
    <w:p w:rsidR="001F7393" w:rsidRPr="00E339D2" w:rsidRDefault="001F7393" w:rsidP="001F7393">
      <w:pPr>
        <w:widowControl/>
        <w:autoSpaceDE/>
        <w:autoSpaceDN/>
        <w:adjustRightInd/>
        <w:spacing w:after="60"/>
        <w:rPr>
          <w:color w:val="auto"/>
        </w:rPr>
      </w:pPr>
      <w:r w:rsidRPr="001F7393">
        <w:rPr>
          <w:b/>
          <w:color w:val="auto"/>
        </w:rPr>
        <w:t>Responsiveness</w:t>
      </w:r>
      <w:r w:rsidRPr="00E339D2">
        <w:rPr>
          <w:b/>
          <w:color w:val="auto"/>
        </w:rPr>
        <w:t>:</w:t>
      </w:r>
      <w:r w:rsidRPr="00E339D2">
        <w:rPr>
          <w:color w:val="auto"/>
        </w:rPr>
        <w:t xml:space="preserve">  Deal with complaints quickly, treat complainants with courtesy and wherever possible resolve complaints at the first point of contact.</w:t>
      </w:r>
    </w:p>
    <w:p w:rsidR="001F7393" w:rsidRDefault="001F7393" w:rsidP="001F7393">
      <w:pPr>
        <w:widowControl/>
        <w:autoSpaceDE/>
        <w:autoSpaceDN/>
        <w:adjustRightInd/>
        <w:rPr>
          <w:color w:val="auto"/>
        </w:rPr>
      </w:pPr>
      <w:r w:rsidRPr="001F7393">
        <w:rPr>
          <w:b/>
          <w:color w:val="auto"/>
        </w:rPr>
        <w:lastRenderedPageBreak/>
        <w:t>Reviews</w:t>
      </w:r>
      <w:r w:rsidRPr="00E339D2">
        <w:rPr>
          <w:b/>
          <w:color w:val="auto"/>
        </w:rPr>
        <w:t>:</w:t>
      </w:r>
      <w:r w:rsidRPr="00E339D2">
        <w:rPr>
          <w:color w:val="auto"/>
        </w:rPr>
        <w:t xml:space="preserve">  Regularly review the complaints handling process to ensure it is efficiently delivering effective outcomes.</w:t>
      </w:r>
    </w:p>
    <w:p w:rsidR="007A5067" w:rsidRPr="00E339D2" w:rsidRDefault="007A5067" w:rsidP="007A5067">
      <w:pPr>
        <w:widowControl/>
        <w:autoSpaceDE/>
        <w:autoSpaceDN/>
        <w:adjustRightInd/>
        <w:spacing w:after="60"/>
        <w:rPr>
          <w:color w:val="auto"/>
        </w:rPr>
      </w:pPr>
      <w:r w:rsidRPr="001F7393">
        <w:rPr>
          <w:b/>
          <w:color w:val="auto"/>
        </w:rPr>
        <w:t>Visibility</w:t>
      </w:r>
      <w:r w:rsidRPr="00E339D2">
        <w:rPr>
          <w:b/>
          <w:color w:val="auto"/>
        </w:rPr>
        <w:t>:</w:t>
      </w:r>
      <w:r>
        <w:rPr>
          <w:color w:val="auto"/>
        </w:rPr>
        <w:t xml:space="preserve">  Promote IATI</w:t>
      </w:r>
      <w:r w:rsidRPr="00E339D2">
        <w:rPr>
          <w:color w:val="auto"/>
        </w:rPr>
        <w:t>'s Complaints Handling Policy and Procedures for lodging complaints to all external parties.</w:t>
      </w:r>
    </w:p>
    <w:p w:rsidR="00E339D2" w:rsidRPr="00E339D2" w:rsidRDefault="00E339D2" w:rsidP="00012B03">
      <w:pPr>
        <w:pStyle w:val="Heading2"/>
      </w:pPr>
      <w:r w:rsidRPr="00E339D2">
        <w:t xml:space="preserve">Rights of </w:t>
      </w:r>
      <w:r w:rsidRPr="00972CAE">
        <w:t>Complainants</w:t>
      </w:r>
    </w:p>
    <w:p w:rsidR="00E339D2" w:rsidRPr="00E339D2" w:rsidRDefault="00E339D2" w:rsidP="00972CAE">
      <w:pPr>
        <w:pStyle w:val="Heading3"/>
        <w:rPr>
          <w:rFonts w:cs="Times New Roman"/>
          <w:szCs w:val="20"/>
        </w:rPr>
      </w:pPr>
      <w:r w:rsidRPr="00E339D2">
        <w:t>Fairness - Complainants have rights to:</w:t>
      </w:r>
    </w:p>
    <w:p w:rsidR="00E339D2" w:rsidRPr="00012B03" w:rsidRDefault="00E339D2" w:rsidP="00AB2754">
      <w:pPr>
        <w:widowControl/>
        <w:numPr>
          <w:ilvl w:val="0"/>
          <w:numId w:val="32"/>
        </w:numPr>
        <w:autoSpaceDE/>
        <w:autoSpaceDN/>
        <w:adjustRightInd/>
        <w:spacing w:after="60"/>
        <w:ind w:left="567" w:hanging="567"/>
        <w:jc w:val="left"/>
        <w:rPr>
          <w:color w:val="auto"/>
        </w:rPr>
      </w:pPr>
      <w:r w:rsidRPr="00012B03">
        <w:rPr>
          <w:color w:val="auto"/>
        </w:rPr>
        <w:t>be heard</w:t>
      </w:r>
      <w:r w:rsidR="00012B03" w:rsidRPr="00012B03">
        <w:rPr>
          <w:color w:val="auto"/>
        </w:rPr>
        <w:t xml:space="preserve"> and </w:t>
      </w:r>
      <w:r w:rsidR="00735DEB" w:rsidRPr="00012B03">
        <w:rPr>
          <w:color w:val="auto"/>
        </w:rPr>
        <w:t>know whether IATI</w:t>
      </w:r>
      <w:r w:rsidRPr="00012B03">
        <w:rPr>
          <w:color w:val="auto"/>
        </w:rPr>
        <w:t>'s relevant service procedures have been followed;</w:t>
      </w:r>
    </w:p>
    <w:p w:rsidR="00E339D2" w:rsidRPr="00E339D2" w:rsidRDefault="00E339D2" w:rsidP="00972CAE">
      <w:pPr>
        <w:widowControl/>
        <w:numPr>
          <w:ilvl w:val="0"/>
          <w:numId w:val="32"/>
        </w:numPr>
        <w:autoSpaceDE/>
        <w:autoSpaceDN/>
        <w:adjustRightInd/>
        <w:spacing w:after="60"/>
        <w:ind w:left="567" w:hanging="567"/>
        <w:jc w:val="left"/>
        <w:rPr>
          <w:color w:val="auto"/>
        </w:rPr>
      </w:pPr>
      <w:r w:rsidRPr="00E339D2">
        <w:rPr>
          <w:color w:val="auto"/>
        </w:rPr>
        <w:t>be provided with, and request all relevant material to support the complaint, subject to Freedom of Information legislation;</w:t>
      </w:r>
    </w:p>
    <w:p w:rsidR="00E339D2" w:rsidRPr="00E339D2" w:rsidRDefault="00E339D2" w:rsidP="00972CAE">
      <w:pPr>
        <w:widowControl/>
        <w:numPr>
          <w:ilvl w:val="0"/>
          <w:numId w:val="32"/>
        </w:numPr>
        <w:autoSpaceDE/>
        <w:autoSpaceDN/>
        <w:adjustRightInd/>
        <w:spacing w:after="60"/>
        <w:ind w:left="567" w:hanging="567"/>
        <w:jc w:val="left"/>
        <w:rPr>
          <w:color w:val="auto"/>
        </w:rPr>
      </w:pPr>
      <w:r w:rsidRPr="00E339D2">
        <w:rPr>
          <w:color w:val="auto"/>
        </w:rPr>
        <w:t>be informed of the criteria and processes;</w:t>
      </w:r>
    </w:p>
    <w:p w:rsidR="00E339D2" w:rsidRPr="00E339D2" w:rsidRDefault="00E339D2" w:rsidP="00972CAE">
      <w:pPr>
        <w:widowControl/>
        <w:numPr>
          <w:ilvl w:val="0"/>
          <w:numId w:val="32"/>
        </w:numPr>
        <w:autoSpaceDE/>
        <w:autoSpaceDN/>
        <w:adjustRightInd/>
        <w:spacing w:after="60"/>
        <w:ind w:left="567" w:hanging="567"/>
        <w:jc w:val="left"/>
        <w:rPr>
          <w:color w:val="auto"/>
        </w:rPr>
      </w:pPr>
      <w:r w:rsidRPr="00E339D2">
        <w:rPr>
          <w:color w:val="auto"/>
        </w:rPr>
        <w:t>be informed of the response of the person complained of;</w:t>
      </w:r>
    </w:p>
    <w:p w:rsidR="00E339D2" w:rsidRPr="00E339D2" w:rsidRDefault="00E339D2" w:rsidP="00972CAE">
      <w:pPr>
        <w:widowControl/>
        <w:numPr>
          <w:ilvl w:val="0"/>
          <w:numId w:val="32"/>
        </w:numPr>
        <w:autoSpaceDE/>
        <w:autoSpaceDN/>
        <w:adjustRightInd/>
        <w:spacing w:after="60"/>
        <w:ind w:left="567" w:hanging="567"/>
        <w:jc w:val="left"/>
        <w:rPr>
          <w:color w:val="auto"/>
        </w:rPr>
      </w:pPr>
      <w:r w:rsidRPr="00E339D2">
        <w:rPr>
          <w:color w:val="auto"/>
        </w:rPr>
        <w:t>be informed of IA</w:t>
      </w:r>
      <w:r w:rsidR="00735DEB">
        <w:rPr>
          <w:color w:val="auto"/>
        </w:rPr>
        <w:t>TI</w:t>
      </w:r>
      <w:r w:rsidRPr="00E339D2">
        <w:rPr>
          <w:color w:val="auto"/>
        </w:rPr>
        <w:t>'s decision and the reasons for that decision;</w:t>
      </w:r>
    </w:p>
    <w:p w:rsidR="00E339D2" w:rsidRPr="00E339D2" w:rsidRDefault="00E339D2" w:rsidP="00972CAE">
      <w:pPr>
        <w:widowControl/>
        <w:numPr>
          <w:ilvl w:val="0"/>
          <w:numId w:val="32"/>
        </w:numPr>
        <w:autoSpaceDE/>
        <w:autoSpaceDN/>
        <w:adjustRightInd/>
        <w:spacing w:after="60"/>
        <w:ind w:left="567" w:hanging="567"/>
        <w:jc w:val="left"/>
        <w:rPr>
          <w:color w:val="auto"/>
        </w:rPr>
      </w:pPr>
      <w:r w:rsidRPr="00E339D2">
        <w:rPr>
          <w:color w:val="auto"/>
        </w:rPr>
        <w:t>know that a genuine, thorough and unbiased examination of the complaint has been undertaken,</w:t>
      </w:r>
    </w:p>
    <w:p w:rsidR="00E339D2" w:rsidRPr="00E339D2" w:rsidRDefault="00E339D2" w:rsidP="00972CAE">
      <w:pPr>
        <w:widowControl/>
        <w:numPr>
          <w:ilvl w:val="0"/>
          <w:numId w:val="32"/>
        </w:numPr>
        <w:autoSpaceDE/>
        <w:autoSpaceDN/>
        <w:adjustRightInd/>
        <w:ind w:left="567" w:hanging="567"/>
        <w:jc w:val="left"/>
        <w:rPr>
          <w:color w:val="auto"/>
        </w:rPr>
      </w:pPr>
      <w:r w:rsidRPr="00E339D2">
        <w:rPr>
          <w:color w:val="auto"/>
        </w:rPr>
        <w:t>confidentiality, if requested.</w:t>
      </w:r>
    </w:p>
    <w:p w:rsidR="00E339D2" w:rsidRPr="00E339D2" w:rsidRDefault="00E339D2" w:rsidP="00972CAE">
      <w:pPr>
        <w:pStyle w:val="Heading3"/>
        <w:rPr>
          <w:rFonts w:cs="Times New Roman"/>
          <w:szCs w:val="20"/>
        </w:rPr>
      </w:pPr>
      <w:r w:rsidRPr="00E339D2">
        <w:t>Responsiveness - Complainants shall be:</w:t>
      </w:r>
    </w:p>
    <w:p w:rsidR="00E339D2" w:rsidRPr="00E339D2" w:rsidRDefault="00E339D2" w:rsidP="00972CAE">
      <w:pPr>
        <w:widowControl/>
        <w:numPr>
          <w:ilvl w:val="0"/>
          <w:numId w:val="33"/>
        </w:numPr>
        <w:autoSpaceDE/>
        <w:autoSpaceDN/>
        <w:adjustRightInd/>
        <w:spacing w:after="60"/>
        <w:jc w:val="left"/>
        <w:rPr>
          <w:color w:val="auto"/>
        </w:rPr>
      </w:pPr>
      <w:r w:rsidRPr="00E339D2">
        <w:rPr>
          <w:color w:val="auto"/>
        </w:rPr>
        <w:t>advised how long it will take to deal with the complaint;  and</w:t>
      </w:r>
    </w:p>
    <w:p w:rsidR="00E339D2" w:rsidRPr="00E339D2" w:rsidRDefault="00E339D2" w:rsidP="00972CAE">
      <w:pPr>
        <w:widowControl/>
        <w:numPr>
          <w:ilvl w:val="0"/>
          <w:numId w:val="33"/>
        </w:numPr>
        <w:autoSpaceDE/>
        <w:autoSpaceDN/>
        <w:adjustRightInd/>
        <w:jc w:val="left"/>
        <w:rPr>
          <w:color w:val="auto"/>
        </w:rPr>
      </w:pPr>
      <w:r w:rsidRPr="00E339D2">
        <w:rPr>
          <w:color w:val="auto"/>
        </w:rPr>
        <w:t>be kept informed of progress by telephone advice, correspondence or interview.</w:t>
      </w:r>
    </w:p>
    <w:p w:rsidR="001F7393" w:rsidRDefault="00E339D2" w:rsidP="00012B03">
      <w:pPr>
        <w:pStyle w:val="Heading2"/>
      </w:pPr>
      <w:r w:rsidRPr="00E339D2">
        <w:t xml:space="preserve">Rights and Responsibilities </w:t>
      </w:r>
    </w:p>
    <w:p w:rsidR="00E339D2" w:rsidRPr="001F7393" w:rsidRDefault="00851F2B" w:rsidP="00972CAE">
      <w:pPr>
        <w:pStyle w:val="Heading3"/>
      </w:pPr>
      <w:r>
        <w:t>IA</w:t>
      </w:r>
      <w:r w:rsidR="00012B03">
        <w:t>TI</w:t>
      </w:r>
      <w:r w:rsidR="00E339D2" w:rsidRPr="001F7393">
        <w:t xml:space="preserve"> </w:t>
      </w:r>
      <w:r w:rsidR="00E339D2" w:rsidRPr="00972CAE">
        <w:t>Employees</w:t>
      </w:r>
    </w:p>
    <w:p w:rsidR="00E339D2" w:rsidRPr="00972CAE" w:rsidRDefault="00E339D2" w:rsidP="001F7393">
      <w:pPr>
        <w:rPr>
          <w:rFonts w:cs="Times New Roman"/>
          <w:szCs w:val="20"/>
          <w:u w:val="single"/>
        </w:rPr>
      </w:pPr>
      <w:r w:rsidRPr="00972CAE">
        <w:rPr>
          <w:u w:val="single"/>
        </w:rPr>
        <w:t xml:space="preserve">Dealing Directly with the Complainant - Oral or Written </w:t>
      </w:r>
    </w:p>
    <w:p w:rsidR="00E339D2" w:rsidRPr="00E339D2" w:rsidRDefault="00735DEB" w:rsidP="001F7393">
      <w:pPr>
        <w:spacing w:after="60"/>
      </w:pPr>
      <w:r>
        <w:t>An IATI</w:t>
      </w:r>
      <w:r w:rsidR="00E339D2" w:rsidRPr="00E339D2">
        <w:t xml:space="preserve"> employee has a responsibility to:</w:t>
      </w:r>
    </w:p>
    <w:p w:rsidR="00E339D2" w:rsidRPr="00E339D2" w:rsidRDefault="00E339D2" w:rsidP="00972CAE">
      <w:pPr>
        <w:widowControl/>
        <w:numPr>
          <w:ilvl w:val="0"/>
          <w:numId w:val="30"/>
        </w:numPr>
        <w:autoSpaceDE/>
        <w:autoSpaceDN/>
        <w:adjustRightInd/>
        <w:spacing w:after="60"/>
        <w:ind w:left="567" w:hanging="567"/>
        <w:jc w:val="left"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>obtain sufficient detail about the complaint to enable a proper assessment, review and response to the complaint;</w:t>
      </w:r>
    </w:p>
    <w:p w:rsidR="00E339D2" w:rsidRPr="00E339D2" w:rsidRDefault="00E339D2" w:rsidP="001F7393">
      <w:pPr>
        <w:widowControl/>
        <w:numPr>
          <w:ilvl w:val="0"/>
          <w:numId w:val="30"/>
        </w:numPr>
        <w:autoSpaceDE/>
        <w:autoSpaceDN/>
        <w:adjustRightInd/>
        <w:spacing w:after="60"/>
        <w:ind w:left="567" w:hanging="567"/>
        <w:jc w:val="left"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>advise the complainant of the time required to provide information to resolve the complaint;</w:t>
      </w:r>
    </w:p>
    <w:p w:rsidR="00E339D2" w:rsidRPr="00E339D2" w:rsidRDefault="00E339D2" w:rsidP="001F7393">
      <w:pPr>
        <w:widowControl/>
        <w:numPr>
          <w:ilvl w:val="0"/>
          <w:numId w:val="30"/>
        </w:numPr>
        <w:autoSpaceDE/>
        <w:autoSpaceDN/>
        <w:adjustRightInd/>
        <w:spacing w:after="60"/>
        <w:ind w:left="567" w:hanging="567"/>
        <w:jc w:val="left"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>agree with the complainant about the form the response will take (oral or written);</w:t>
      </w:r>
    </w:p>
    <w:p w:rsidR="00E339D2" w:rsidRPr="00E339D2" w:rsidRDefault="00E339D2" w:rsidP="001F7393">
      <w:pPr>
        <w:widowControl/>
        <w:numPr>
          <w:ilvl w:val="0"/>
          <w:numId w:val="30"/>
        </w:numPr>
        <w:autoSpaceDE/>
        <w:autoSpaceDN/>
        <w:adjustRightInd/>
        <w:ind w:left="567" w:hanging="567"/>
        <w:jc w:val="left"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>record complaint details, timing and the form of response where required for reporting purp</w:t>
      </w:r>
      <w:r w:rsidR="001F67F9">
        <w:rPr>
          <w:rFonts w:cs="Times New Roman"/>
          <w:color w:val="auto"/>
          <w:szCs w:val="20"/>
        </w:rPr>
        <w:t xml:space="preserve">oses </w:t>
      </w:r>
      <w:r w:rsidRPr="00E339D2">
        <w:rPr>
          <w:rFonts w:cs="Times New Roman"/>
          <w:color w:val="auto"/>
          <w:szCs w:val="20"/>
        </w:rPr>
        <w:t>to the Chief Executive Officer o</w:t>
      </w:r>
      <w:r w:rsidR="001F67F9">
        <w:rPr>
          <w:rFonts w:cs="Times New Roman"/>
          <w:color w:val="auto"/>
          <w:szCs w:val="20"/>
        </w:rPr>
        <w:t>r Management Committee delegate</w:t>
      </w:r>
      <w:r w:rsidRPr="00E339D2">
        <w:rPr>
          <w:rFonts w:cs="Times New Roman"/>
          <w:color w:val="auto"/>
          <w:szCs w:val="20"/>
        </w:rPr>
        <w:t>.</w:t>
      </w:r>
    </w:p>
    <w:p w:rsidR="00012B03" w:rsidRDefault="00012B03">
      <w:pPr>
        <w:widowControl/>
        <w:autoSpaceDE/>
        <w:autoSpaceDN/>
        <w:adjustRightInd/>
        <w:spacing w:after="0"/>
        <w:jc w:val="left"/>
        <w:rPr>
          <w:u w:val="single"/>
        </w:rPr>
      </w:pPr>
      <w:r>
        <w:rPr>
          <w:u w:val="single"/>
        </w:rPr>
        <w:br w:type="page"/>
      </w:r>
    </w:p>
    <w:p w:rsidR="00E339D2" w:rsidRPr="00972CAE" w:rsidRDefault="00E339D2" w:rsidP="001F7393">
      <w:pPr>
        <w:rPr>
          <w:u w:val="single"/>
        </w:rPr>
      </w:pPr>
      <w:r w:rsidRPr="00972CAE">
        <w:rPr>
          <w:u w:val="single"/>
        </w:rPr>
        <w:lastRenderedPageBreak/>
        <w:t>W</w:t>
      </w:r>
      <w:r w:rsidR="00851F2B">
        <w:rPr>
          <w:u w:val="single"/>
        </w:rPr>
        <w:t>r</w:t>
      </w:r>
      <w:r w:rsidR="00735DEB">
        <w:rPr>
          <w:u w:val="single"/>
        </w:rPr>
        <w:t>itten Complaints against an IATI</w:t>
      </w:r>
      <w:r w:rsidRPr="00972CAE">
        <w:rPr>
          <w:u w:val="single"/>
        </w:rPr>
        <w:t xml:space="preserve"> employee. </w:t>
      </w:r>
    </w:p>
    <w:p w:rsidR="00E339D2" w:rsidRPr="00E339D2" w:rsidRDefault="00735DEB" w:rsidP="001F7393">
      <w:r>
        <w:t>An IATI</w:t>
      </w:r>
      <w:r w:rsidR="00E339D2" w:rsidRPr="00E339D2">
        <w:t xml:space="preserve"> employee against whom a complaint has been made has rights to:</w:t>
      </w:r>
    </w:p>
    <w:p w:rsidR="00E339D2" w:rsidRPr="00E339D2" w:rsidRDefault="00E339D2" w:rsidP="00972CAE">
      <w:pPr>
        <w:widowControl/>
        <w:numPr>
          <w:ilvl w:val="0"/>
          <w:numId w:val="31"/>
        </w:numPr>
        <w:autoSpaceDE/>
        <w:autoSpaceDN/>
        <w:adjustRightInd/>
        <w:spacing w:after="60"/>
        <w:ind w:left="567" w:hanging="567"/>
        <w:jc w:val="left"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>assemble sufficient detail about the complaint to enable the employee to properly respond to the complaint;</w:t>
      </w:r>
    </w:p>
    <w:p w:rsidR="00E339D2" w:rsidRPr="00E339D2" w:rsidRDefault="00E339D2" w:rsidP="00972CAE">
      <w:pPr>
        <w:widowControl/>
        <w:numPr>
          <w:ilvl w:val="0"/>
          <w:numId w:val="31"/>
        </w:numPr>
        <w:autoSpaceDE/>
        <w:autoSpaceDN/>
        <w:adjustRightInd/>
        <w:spacing w:before="120"/>
        <w:ind w:left="567" w:hanging="567"/>
        <w:contextualSpacing/>
        <w:jc w:val="left"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>place all relevant material before the person appointed to review the complaint;</w:t>
      </w:r>
    </w:p>
    <w:p w:rsidR="00E339D2" w:rsidRPr="00E339D2" w:rsidRDefault="00E339D2" w:rsidP="00972CAE">
      <w:pPr>
        <w:widowControl/>
        <w:numPr>
          <w:ilvl w:val="0"/>
          <w:numId w:val="31"/>
        </w:numPr>
        <w:autoSpaceDE/>
        <w:autoSpaceDN/>
        <w:adjustRightInd/>
        <w:spacing w:before="120"/>
        <w:ind w:left="567" w:hanging="567"/>
        <w:contextualSpacing/>
        <w:jc w:val="left"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>provide oral and/or written submissions regarding the complaint;  and</w:t>
      </w:r>
    </w:p>
    <w:p w:rsidR="00E339D2" w:rsidRPr="00E339D2" w:rsidRDefault="00E339D2" w:rsidP="00972CAE">
      <w:pPr>
        <w:widowControl/>
        <w:numPr>
          <w:ilvl w:val="0"/>
          <w:numId w:val="31"/>
        </w:numPr>
        <w:autoSpaceDE/>
        <w:autoSpaceDN/>
        <w:adjustRightInd/>
        <w:spacing w:before="120"/>
        <w:ind w:left="567" w:hanging="567"/>
        <w:contextualSpacing/>
        <w:jc w:val="left"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>be informed of the decision and the reason for the decision.</w:t>
      </w:r>
    </w:p>
    <w:p w:rsidR="00E339D2" w:rsidRPr="00E339D2" w:rsidRDefault="00E339D2" w:rsidP="001F7393">
      <w:pPr>
        <w:pStyle w:val="Heading3"/>
      </w:pPr>
      <w:r w:rsidRPr="00E339D2">
        <w:t>CEO and Management Committee.</w:t>
      </w:r>
    </w:p>
    <w:p w:rsidR="00E339D2" w:rsidRPr="00E339D2" w:rsidRDefault="00E339D2" w:rsidP="001F7393">
      <w:pPr>
        <w:spacing w:after="60"/>
      </w:pPr>
      <w:r w:rsidRPr="00E339D2">
        <w:t>The CE</w:t>
      </w:r>
      <w:r w:rsidR="00012B03">
        <w:t>O</w:t>
      </w:r>
      <w:r w:rsidRPr="00E339D2">
        <w:t xml:space="preserve"> and Management Committee shall:</w:t>
      </w:r>
    </w:p>
    <w:p w:rsidR="00E339D2" w:rsidRPr="00E339D2" w:rsidRDefault="00E339D2" w:rsidP="001F7393">
      <w:pPr>
        <w:widowControl/>
        <w:numPr>
          <w:ilvl w:val="0"/>
          <w:numId w:val="29"/>
        </w:numPr>
        <w:autoSpaceDE/>
        <w:autoSpaceDN/>
        <w:adjustRightInd/>
        <w:spacing w:after="60"/>
        <w:ind w:left="567" w:hanging="567"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>appoint and empowe</w:t>
      </w:r>
      <w:r w:rsidR="00851F2B">
        <w:rPr>
          <w:rFonts w:cs="Times New Roman"/>
          <w:color w:val="auto"/>
          <w:szCs w:val="20"/>
        </w:rPr>
        <w:t>r people wit</w:t>
      </w:r>
      <w:r w:rsidR="00735DEB">
        <w:rPr>
          <w:rFonts w:cs="Times New Roman"/>
          <w:color w:val="auto"/>
          <w:szCs w:val="20"/>
        </w:rPr>
        <w:t>hin IATI</w:t>
      </w:r>
      <w:r w:rsidRPr="00E339D2">
        <w:rPr>
          <w:rFonts w:cs="Times New Roman"/>
          <w:color w:val="auto"/>
          <w:szCs w:val="20"/>
        </w:rPr>
        <w:t xml:space="preserve"> with the authority necessary to resolve complaints quickly and effectively;</w:t>
      </w:r>
    </w:p>
    <w:p w:rsidR="00E339D2" w:rsidRPr="00E339D2" w:rsidRDefault="00E339D2" w:rsidP="001F7393">
      <w:pPr>
        <w:widowControl/>
        <w:numPr>
          <w:ilvl w:val="0"/>
          <w:numId w:val="29"/>
        </w:numPr>
        <w:autoSpaceDE/>
        <w:autoSpaceDN/>
        <w:adjustRightInd/>
        <w:spacing w:after="60"/>
        <w:ind w:left="567" w:hanging="567"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>provide sufficient resources within their area of control to ensure the efficient and effective management of external party complaints;</w:t>
      </w:r>
    </w:p>
    <w:p w:rsidR="00E339D2" w:rsidRPr="00E339D2" w:rsidRDefault="00E339D2" w:rsidP="001F7393">
      <w:pPr>
        <w:widowControl/>
        <w:numPr>
          <w:ilvl w:val="0"/>
          <w:numId w:val="29"/>
        </w:numPr>
        <w:autoSpaceDE/>
        <w:autoSpaceDN/>
        <w:adjustRightInd/>
        <w:spacing w:after="60"/>
        <w:ind w:left="567" w:hanging="567"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>ensure appointed people are trained in general and specific complaint handling skills;</w:t>
      </w:r>
    </w:p>
    <w:p w:rsidR="00E339D2" w:rsidRPr="00E339D2" w:rsidRDefault="00E339D2" w:rsidP="001F7393">
      <w:pPr>
        <w:widowControl/>
        <w:numPr>
          <w:ilvl w:val="0"/>
          <w:numId w:val="29"/>
        </w:numPr>
        <w:autoSpaceDE/>
        <w:autoSpaceDN/>
        <w:adjustRightInd/>
        <w:spacing w:after="60"/>
        <w:ind w:left="567" w:hanging="567"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>ensure a no blame culture exists;</w:t>
      </w:r>
    </w:p>
    <w:p w:rsidR="00E339D2" w:rsidRPr="00E339D2" w:rsidRDefault="00E339D2" w:rsidP="001F7393">
      <w:pPr>
        <w:widowControl/>
        <w:numPr>
          <w:ilvl w:val="0"/>
          <w:numId w:val="29"/>
        </w:numPr>
        <w:autoSpaceDE/>
        <w:autoSpaceDN/>
        <w:adjustRightInd/>
        <w:spacing w:after="60"/>
        <w:ind w:left="567" w:hanging="567"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>ensure all complaints are dealt with in an acceptable and timely manner;</w:t>
      </w:r>
    </w:p>
    <w:p w:rsidR="00E339D2" w:rsidRPr="00E339D2" w:rsidRDefault="00E339D2" w:rsidP="001F7393">
      <w:pPr>
        <w:widowControl/>
        <w:numPr>
          <w:ilvl w:val="0"/>
          <w:numId w:val="29"/>
        </w:numPr>
        <w:autoSpaceDE/>
        <w:autoSpaceDN/>
        <w:adjustRightInd/>
        <w:spacing w:after="60"/>
        <w:ind w:left="567" w:hanging="567"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>monitor progress of their complaints handling process;</w:t>
      </w:r>
    </w:p>
    <w:p w:rsidR="00E339D2" w:rsidRPr="00E339D2" w:rsidRDefault="00E339D2" w:rsidP="001F7393">
      <w:pPr>
        <w:widowControl/>
        <w:numPr>
          <w:ilvl w:val="0"/>
          <w:numId w:val="29"/>
        </w:numPr>
        <w:autoSpaceDE/>
        <w:autoSpaceDN/>
        <w:adjustRightInd/>
        <w:spacing w:after="60"/>
        <w:ind w:left="567" w:hanging="567"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>maintain an appropriate recording mechanism for oral and written complaints;</w:t>
      </w:r>
    </w:p>
    <w:p w:rsidR="00E339D2" w:rsidRPr="00E339D2" w:rsidRDefault="00E339D2" w:rsidP="001F7393">
      <w:pPr>
        <w:widowControl/>
        <w:numPr>
          <w:ilvl w:val="0"/>
          <w:numId w:val="29"/>
        </w:numPr>
        <w:autoSpaceDE/>
        <w:autoSpaceDN/>
        <w:adjustRightInd/>
        <w:spacing w:after="60"/>
        <w:ind w:left="567" w:hanging="567"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>identify repetitive complaints;</w:t>
      </w:r>
    </w:p>
    <w:p w:rsidR="00E339D2" w:rsidRPr="00E339D2" w:rsidRDefault="00E339D2" w:rsidP="001F7393">
      <w:pPr>
        <w:widowControl/>
        <w:numPr>
          <w:ilvl w:val="0"/>
          <w:numId w:val="29"/>
        </w:numPr>
        <w:autoSpaceDE/>
        <w:autoSpaceDN/>
        <w:adjustRightInd/>
        <w:spacing w:after="60"/>
        <w:ind w:left="567" w:hanging="567"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>evaluate the data and determine the causes of complaints and whether remedial action is required;</w:t>
      </w:r>
    </w:p>
    <w:p w:rsidR="00E339D2" w:rsidRPr="00E339D2" w:rsidRDefault="00E339D2" w:rsidP="001F7393">
      <w:pPr>
        <w:widowControl/>
        <w:numPr>
          <w:ilvl w:val="0"/>
          <w:numId w:val="29"/>
        </w:numPr>
        <w:autoSpaceDE/>
        <w:autoSpaceDN/>
        <w:adjustRightInd/>
        <w:spacing w:after="60"/>
        <w:ind w:left="567" w:hanging="567"/>
        <w:rPr>
          <w:rFonts w:cs="Times New Roman"/>
          <w:color w:val="auto"/>
          <w:szCs w:val="20"/>
        </w:rPr>
      </w:pPr>
      <w:r w:rsidRPr="00E339D2">
        <w:rPr>
          <w:rFonts w:cs="Times New Roman"/>
          <w:color w:val="auto"/>
          <w:szCs w:val="20"/>
        </w:rPr>
        <w:t>develop and implement continuous improvements to practices that are the cause of complaints within their area of responsibility;  and</w:t>
      </w:r>
    </w:p>
    <w:p w:rsidR="00E339D2" w:rsidRPr="00E339D2" w:rsidRDefault="00735DEB" w:rsidP="001F7393">
      <w:pPr>
        <w:widowControl/>
        <w:numPr>
          <w:ilvl w:val="0"/>
          <w:numId w:val="29"/>
        </w:numPr>
        <w:autoSpaceDE/>
        <w:autoSpaceDN/>
        <w:adjustRightInd/>
        <w:ind w:left="567" w:hanging="567"/>
        <w:contextualSpacing/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>report in IATI</w:t>
      </w:r>
      <w:r w:rsidR="00E339D2" w:rsidRPr="00E339D2">
        <w:rPr>
          <w:rFonts w:cs="Times New Roman"/>
          <w:color w:val="auto"/>
          <w:szCs w:val="20"/>
        </w:rPr>
        <w:t xml:space="preserve">'s Annual Report any significant complaint issues, particularly systemic complaints and those resulting in service improvements. </w:t>
      </w:r>
    </w:p>
    <w:p w:rsidR="001F7393" w:rsidRPr="00E339D2" w:rsidRDefault="001F7393" w:rsidP="00012B03">
      <w:pPr>
        <w:pStyle w:val="Heading2"/>
      </w:pPr>
      <w:r w:rsidRPr="00E339D2">
        <w:t>Form of Complaint</w:t>
      </w:r>
    </w:p>
    <w:p w:rsidR="001F7393" w:rsidRDefault="001F7393" w:rsidP="001F67F9">
      <w:r w:rsidRPr="00E339D2">
        <w:t xml:space="preserve">A complaint can be made by a person (or another person or an advocate representing the complainant) </w:t>
      </w:r>
      <w:r w:rsidR="00012B03">
        <w:t>in writing</w:t>
      </w:r>
      <w:r w:rsidRPr="00E339D2">
        <w:t xml:space="preserve"> (letter, facsimile, or e-mail).</w:t>
      </w:r>
    </w:p>
    <w:p w:rsidR="00E85B53" w:rsidRDefault="00E85B53" w:rsidP="00012B03">
      <w:pPr>
        <w:contextualSpacing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85B53" w:rsidRPr="00E85B53" w:rsidTr="00E85B53">
        <w:trPr>
          <w:trHeight w:val="3118"/>
        </w:trPr>
        <w:tc>
          <w:tcPr>
            <w:tcW w:w="9493" w:type="dxa"/>
            <w:shd w:val="clear" w:color="auto" w:fill="auto"/>
          </w:tcPr>
          <w:p w:rsidR="00E85B53" w:rsidRPr="00E85B53" w:rsidRDefault="00E85B53" w:rsidP="00012B03">
            <w:pPr>
              <w:widowControl/>
              <w:autoSpaceDE/>
              <w:autoSpaceDN/>
              <w:adjustRightInd/>
              <w:rPr>
                <w:color w:val="auto"/>
                <w:lang w:val="en-US"/>
              </w:rPr>
            </w:pPr>
            <w:r w:rsidRPr="00E85B53">
              <w:rPr>
                <w:color w:val="auto"/>
                <w:lang w:val="en-US"/>
              </w:rPr>
              <w:t>The Complainant will be provided with information about:</w:t>
            </w:r>
          </w:p>
          <w:p w:rsidR="00E85B53" w:rsidRPr="00E85B53" w:rsidRDefault="00E85B53" w:rsidP="00E85B53">
            <w:pPr>
              <w:widowControl/>
              <w:autoSpaceDE/>
              <w:autoSpaceDN/>
              <w:adjustRightInd/>
              <w:spacing w:after="0"/>
              <w:ind w:left="595"/>
              <w:rPr>
                <w:color w:val="auto"/>
                <w:lang w:val="en-US"/>
              </w:rPr>
            </w:pPr>
            <w:r w:rsidRPr="00E85B53">
              <w:rPr>
                <w:color w:val="auto"/>
                <w:lang w:val="en-US"/>
              </w:rPr>
              <w:t>The National Disability Complaints Resolution and Referral Service Hotline:  1800 880 052</w:t>
            </w:r>
          </w:p>
          <w:p w:rsidR="00E85B53" w:rsidRPr="00E85B53" w:rsidRDefault="00E7007A" w:rsidP="00E85B53">
            <w:pPr>
              <w:widowControl/>
              <w:autoSpaceDE/>
              <w:autoSpaceDN/>
              <w:adjustRightInd/>
              <w:spacing w:after="200"/>
              <w:ind w:left="595"/>
              <w:rPr>
                <w:color w:val="auto"/>
                <w:lang w:val="en-US"/>
              </w:rPr>
            </w:pPr>
            <w:hyperlink r:id="rId8" w:history="1">
              <w:r w:rsidR="00E85B53" w:rsidRPr="00E85B53">
                <w:rPr>
                  <w:color w:val="0000FF"/>
                  <w:u w:val="single"/>
                  <w:lang w:val="en-US"/>
                </w:rPr>
                <w:t>https://www.dss.gov.au/our-responsibilities/disability-and-carers/program-services/for-service-providers/quality-strategy-for-disability-employment-and-rehabilitation-services/complaints-and-referral-processes</w:t>
              </w:r>
            </w:hyperlink>
            <w:r w:rsidR="00E85B53" w:rsidRPr="00E85B53">
              <w:rPr>
                <w:color w:val="auto"/>
                <w:lang w:val="en-US"/>
              </w:rPr>
              <w:t xml:space="preserve"> </w:t>
            </w:r>
          </w:p>
          <w:p w:rsidR="00E85B53" w:rsidRPr="00E85B53" w:rsidRDefault="00E85B53" w:rsidP="00012B03">
            <w:pPr>
              <w:widowControl/>
              <w:autoSpaceDE/>
              <w:autoSpaceDN/>
              <w:adjustRightInd/>
              <w:rPr>
                <w:color w:val="auto"/>
                <w:lang w:val="en-US"/>
              </w:rPr>
            </w:pPr>
            <w:r w:rsidRPr="00E85B53">
              <w:rPr>
                <w:color w:val="auto"/>
                <w:lang w:val="en-US"/>
              </w:rPr>
              <w:t>This is the co</w:t>
            </w:r>
            <w:r w:rsidR="00851F2B">
              <w:rPr>
                <w:color w:val="auto"/>
                <w:lang w:val="en-US"/>
              </w:rPr>
              <w:t>mplaint body for</w:t>
            </w:r>
            <w:r w:rsidR="00735DEB">
              <w:rPr>
                <w:color w:val="auto"/>
                <w:lang w:val="en-US"/>
              </w:rPr>
              <w:t xml:space="preserve"> all IATI</w:t>
            </w:r>
            <w:r w:rsidRPr="00E85B53">
              <w:rPr>
                <w:color w:val="auto"/>
                <w:lang w:val="en-US"/>
              </w:rPr>
              <w:t xml:space="preserve"> funded programs.</w:t>
            </w:r>
          </w:p>
          <w:p w:rsidR="00E85B53" w:rsidRPr="00E85B53" w:rsidRDefault="00E85B53" w:rsidP="00012B03">
            <w:pPr>
              <w:widowControl/>
              <w:autoSpaceDE/>
              <w:autoSpaceDN/>
              <w:adjustRightInd/>
              <w:rPr>
                <w:b/>
                <w:color w:val="auto"/>
                <w:lang w:val="en-US"/>
              </w:rPr>
            </w:pPr>
            <w:r w:rsidRPr="00E85B53">
              <w:rPr>
                <w:b/>
                <w:color w:val="auto"/>
                <w:lang w:val="en-US"/>
              </w:rPr>
              <w:t>Complaints to these bod</w:t>
            </w:r>
            <w:r w:rsidR="00851F2B">
              <w:rPr>
                <w:b/>
                <w:color w:val="auto"/>
                <w:lang w:val="en-US"/>
              </w:rPr>
              <w:t>i</w:t>
            </w:r>
            <w:r w:rsidR="00735DEB">
              <w:rPr>
                <w:b/>
                <w:color w:val="auto"/>
                <w:lang w:val="en-US"/>
              </w:rPr>
              <w:t>es will not be submitted by IATI</w:t>
            </w:r>
            <w:r w:rsidRPr="00E85B53">
              <w:rPr>
                <w:b/>
                <w:color w:val="auto"/>
                <w:lang w:val="en-US"/>
              </w:rPr>
              <w:t xml:space="preserve"> staff or management committee on behalf of the Complainant due to conflict of interest.  </w:t>
            </w:r>
          </w:p>
          <w:p w:rsidR="00E85B53" w:rsidRPr="00E85B53" w:rsidRDefault="00E85B53" w:rsidP="00012B03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  <w:lang w:val="en-US"/>
              </w:rPr>
            </w:pPr>
            <w:r w:rsidRPr="00E85B53">
              <w:rPr>
                <w:b/>
                <w:color w:val="auto"/>
                <w:lang w:val="en-US"/>
              </w:rPr>
              <w:t>The person will be assisted to source an independent person to support them with these processes if necessary.</w:t>
            </w:r>
          </w:p>
        </w:tc>
      </w:tr>
    </w:tbl>
    <w:p w:rsidR="00E85B53" w:rsidRPr="00E339D2" w:rsidRDefault="00E85B53" w:rsidP="00012B03">
      <w:pPr>
        <w:contextualSpacing/>
      </w:pPr>
    </w:p>
    <w:sectPr w:rsidR="00E85B53" w:rsidRPr="00E339D2" w:rsidSect="00012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992" w:bottom="1134" w:left="1418" w:header="709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45" w:rsidRDefault="00475B45" w:rsidP="00CC17FD">
      <w:r>
        <w:separator/>
      </w:r>
    </w:p>
  </w:endnote>
  <w:endnote w:type="continuationSeparator" w:id="0">
    <w:p w:rsidR="00475B45" w:rsidRDefault="00475B45" w:rsidP="00CC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7A" w:rsidRDefault="00E70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45" w:rsidRPr="00C82816" w:rsidRDefault="00475B45" w:rsidP="002A1321">
    <w:pPr>
      <w:pBdr>
        <w:top w:val="single" w:sz="4" w:space="1" w:color="auto"/>
      </w:pBdr>
      <w:spacing w:after="0"/>
      <w:rPr>
        <w:rFonts w:ascii="Verdana" w:hAnsi="Verdana"/>
        <w:i/>
        <w:sz w:val="16"/>
        <w:szCs w:val="16"/>
      </w:rPr>
    </w:pPr>
  </w:p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096"/>
      <w:gridCol w:w="3685"/>
    </w:tblGrid>
    <w:tr w:rsidR="00475B45" w:rsidRPr="00C82816" w:rsidTr="00475B45">
      <w:tc>
        <w:tcPr>
          <w:tcW w:w="60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75B45" w:rsidRPr="00C82816" w:rsidRDefault="00475B45" w:rsidP="00C82816">
          <w:pPr>
            <w:spacing w:after="0"/>
            <w:rPr>
              <w:rFonts w:ascii="Verdana" w:hAnsi="Verdana"/>
              <w:i/>
              <w:sz w:val="16"/>
              <w:szCs w:val="16"/>
              <w:lang w:val="en-GB"/>
            </w:rPr>
          </w:pPr>
          <w:r w:rsidRPr="00C82816">
            <w:rPr>
              <w:rFonts w:ascii="Verdana" w:hAnsi="Verdana"/>
              <w:i/>
              <w:sz w:val="16"/>
              <w:szCs w:val="16"/>
              <w:lang w:val="en-GB"/>
            </w:rPr>
            <w:t xml:space="preserve">Status:  </w:t>
          </w:r>
          <w:sdt>
            <w:sdtPr>
              <w:rPr>
                <w:rFonts w:ascii="Verdana" w:hAnsi="Verdana"/>
                <w:i/>
                <w:sz w:val="16"/>
                <w:szCs w:val="16"/>
                <w:lang w:val="en-GB"/>
              </w:rPr>
              <w:alias w:val="Status"/>
              <w:tag w:val=""/>
              <w:id w:val="-2072338303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Pr="00C82816">
                <w:rPr>
                  <w:rFonts w:ascii="Verdana" w:hAnsi="Verdana"/>
                  <w:i/>
                  <w:sz w:val="16"/>
                  <w:szCs w:val="16"/>
                  <w:lang w:val="en-GB"/>
                </w:rPr>
                <w:t>ACTIVE</w:t>
              </w:r>
            </w:sdtContent>
          </w:sdt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75B45" w:rsidRPr="00C82816" w:rsidRDefault="00475B45" w:rsidP="007A5067">
          <w:pPr>
            <w:spacing w:after="0"/>
            <w:rPr>
              <w:rFonts w:ascii="Verdana" w:hAnsi="Verdana"/>
              <w:i/>
              <w:sz w:val="16"/>
              <w:szCs w:val="16"/>
              <w:lang w:val="en-GB"/>
            </w:rPr>
          </w:pPr>
          <w:r w:rsidRPr="00C82816">
            <w:rPr>
              <w:rFonts w:ascii="Verdana" w:hAnsi="Verdana"/>
              <w:i/>
              <w:sz w:val="16"/>
              <w:szCs w:val="16"/>
              <w:lang w:val="en-GB"/>
            </w:rPr>
            <w:t>Version:  0</w:t>
          </w:r>
          <w:r w:rsidR="007A5067">
            <w:rPr>
              <w:rFonts w:ascii="Verdana" w:hAnsi="Verdana"/>
              <w:i/>
              <w:sz w:val="16"/>
              <w:szCs w:val="16"/>
              <w:lang w:val="en-GB"/>
            </w:rPr>
            <w:t>8</w:t>
          </w:r>
        </w:p>
      </w:tc>
    </w:tr>
    <w:tr w:rsidR="00475B45" w:rsidRPr="00C82816" w:rsidTr="00475B45">
      <w:tc>
        <w:tcPr>
          <w:tcW w:w="60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75B45" w:rsidRPr="00C82816" w:rsidRDefault="00475B45" w:rsidP="00C82816">
          <w:pPr>
            <w:spacing w:after="0"/>
            <w:rPr>
              <w:rFonts w:ascii="Verdana" w:hAnsi="Verdana"/>
              <w:i/>
              <w:sz w:val="16"/>
              <w:szCs w:val="16"/>
              <w:lang w:val="en-GB"/>
            </w:rPr>
          </w:pPr>
          <w:r w:rsidRPr="00C82816">
            <w:rPr>
              <w:rFonts w:ascii="Verdana" w:hAnsi="Verdana"/>
              <w:i/>
              <w:sz w:val="16"/>
              <w:szCs w:val="16"/>
              <w:lang w:val="en-GB"/>
            </w:rPr>
            <w:t xml:space="preserve">Revised by:  </w:t>
          </w:r>
          <w:sdt>
            <w:sdtPr>
              <w:rPr>
                <w:rFonts w:ascii="Verdana" w:hAnsi="Verdana"/>
                <w:i/>
                <w:sz w:val="16"/>
                <w:szCs w:val="16"/>
                <w:lang w:val="en-GB"/>
              </w:rPr>
              <w:alias w:val="Comments"/>
              <w:tag w:val=""/>
              <w:id w:val="-640961951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7A5067">
                <w:rPr>
                  <w:rFonts w:ascii="Verdana" w:hAnsi="Verdana"/>
                  <w:i/>
                  <w:sz w:val="16"/>
                  <w:szCs w:val="16"/>
                  <w:lang w:val="en-GB"/>
                </w:rPr>
                <w:t>Management Committee</w:t>
              </w:r>
            </w:sdtContent>
          </w:sdt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75B45" w:rsidRPr="00C82816" w:rsidRDefault="00475B45" w:rsidP="00E7007A">
          <w:pPr>
            <w:spacing w:after="0"/>
            <w:rPr>
              <w:rFonts w:ascii="Verdana" w:hAnsi="Verdana"/>
              <w:i/>
              <w:sz w:val="16"/>
              <w:szCs w:val="16"/>
              <w:lang w:val="en-GB"/>
            </w:rPr>
          </w:pPr>
          <w:r w:rsidRPr="00C82816">
            <w:rPr>
              <w:rFonts w:ascii="Verdana" w:hAnsi="Verdana"/>
              <w:i/>
              <w:sz w:val="16"/>
              <w:szCs w:val="16"/>
              <w:lang w:val="en-GB"/>
            </w:rPr>
            <w:t xml:space="preserve">Revision Date:  </w:t>
          </w:r>
          <w:r w:rsidR="00E7007A">
            <w:rPr>
              <w:rFonts w:ascii="Verdana" w:hAnsi="Verdana"/>
              <w:i/>
              <w:sz w:val="16"/>
              <w:szCs w:val="16"/>
              <w:lang w:val="en-GB"/>
            </w:rPr>
            <w:t>May</w:t>
          </w:r>
          <w:bookmarkStart w:id="0" w:name="_GoBack"/>
          <w:bookmarkEnd w:id="0"/>
          <w:r w:rsidR="007A5067">
            <w:rPr>
              <w:rFonts w:ascii="Verdana" w:hAnsi="Verdana"/>
              <w:i/>
              <w:sz w:val="16"/>
              <w:szCs w:val="16"/>
              <w:lang w:val="en-GB"/>
            </w:rPr>
            <w:t xml:space="preserve"> 2018</w:t>
          </w:r>
        </w:p>
      </w:tc>
    </w:tr>
    <w:tr w:rsidR="00475B45" w:rsidRPr="00C82816" w:rsidTr="00475B45">
      <w:tc>
        <w:tcPr>
          <w:tcW w:w="60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75B45" w:rsidRPr="00C82816" w:rsidRDefault="00475B45" w:rsidP="00C82816">
          <w:pPr>
            <w:spacing w:after="0"/>
            <w:rPr>
              <w:rFonts w:ascii="Verdana" w:hAnsi="Verdana"/>
              <w:i/>
              <w:sz w:val="16"/>
              <w:szCs w:val="16"/>
              <w:lang w:val="en-GB"/>
            </w:rPr>
          </w:pPr>
          <w:r w:rsidRPr="00C82816">
            <w:rPr>
              <w:rFonts w:ascii="Verdana" w:hAnsi="Verdana"/>
              <w:i/>
              <w:sz w:val="16"/>
              <w:szCs w:val="16"/>
              <w:lang w:val="en-GB"/>
            </w:rPr>
            <w:t xml:space="preserve">File name:  </w:t>
          </w:r>
          <w:sdt>
            <w:sdtPr>
              <w:rPr>
                <w:rFonts w:ascii="Verdana" w:hAnsi="Verdana"/>
                <w:i/>
                <w:sz w:val="16"/>
                <w:szCs w:val="16"/>
                <w:lang w:val="en-GB"/>
              </w:rPr>
              <w:alias w:val="Title"/>
              <w:tag w:val=""/>
              <w:id w:val="-152023093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B19D2">
                <w:rPr>
                  <w:rFonts w:ascii="Verdana" w:hAnsi="Verdana"/>
                  <w:i/>
                  <w:sz w:val="16"/>
                  <w:szCs w:val="16"/>
                  <w:lang w:val="en-GB"/>
                </w:rPr>
                <w:t>EP_External Party Complaint Policy</w:t>
              </w:r>
            </w:sdtContent>
          </w:sdt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75B45" w:rsidRPr="00C82816" w:rsidRDefault="00475B45" w:rsidP="00C82816">
          <w:pPr>
            <w:spacing w:after="0"/>
            <w:rPr>
              <w:rFonts w:ascii="Verdana" w:hAnsi="Verdana"/>
              <w:i/>
              <w:sz w:val="16"/>
              <w:szCs w:val="16"/>
              <w:lang w:val="en-GB"/>
            </w:rPr>
          </w:pPr>
          <w:r w:rsidRPr="00C82816">
            <w:rPr>
              <w:rFonts w:ascii="Verdana" w:hAnsi="Verdana"/>
              <w:i/>
              <w:sz w:val="16"/>
              <w:szCs w:val="16"/>
              <w:lang w:val="en-GB"/>
            </w:rPr>
            <w:t xml:space="preserve">Page </w:t>
          </w:r>
          <w:r w:rsidRPr="00C82816">
            <w:rPr>
              <w:rFonts w:ascii="Verdana" w:hAnsi="Verdana"/>
              <w:i/>
              <w:sz w:val="16"/>
              <w:szCs w:val="16"/>
              <w:lang w:val="en-GB"/>
            </w:rPr>
            <w:fldChar w:fldCharType="begin"/>
          </w:r>
          <w:r w:rsidRPr="00C82816">
            <w:rPr>
              <w:rFonts w:ascii="Verdana" w:hAnsi="Verdana"/>
              <w:i/>
              <w:sz w:val="16"/>
              <w:szCs w:val="16"/>
              <w:lang w:val="en-GB"/>
            </w:rPr>
            <w:instrText xml:space="preserve"> PAGE </w:instrText>
          </w:r>
          <w:r w:rsidRPr="00C82816">
            <w:rPr>
              <w:rFonts w:ascii="Verdana" w:hAnsi="Verdana"/>
              <w:i/>
              <w:sz w:val="16"/>
              <w:szCs w:val="16"/>
              <w:lang w:val="en-GB"/>
            </w:rPr>
            <w:fldChar w:fldCharType="separate"/>
          </w:r>
          <w:r w:rsidR="00E7007A">
            <w:rPr>
              <w:rFonts w:ascii="Verdana" w:hAnsi="Verdana"/>
              <w:i/>
              <w:noProof/>
              <w:sz w:val="16"/>
              <w:szCs w:val="16"/>
              <w:lang w:val="en-GB"/>
            </w:rPr>
            <w:t>1</w:t>
          </w:r>
          <w:r w:rsidRPr="00C82816">
            <w:rPr>
              <w:rFonts w:ascii="Verdana" w:hAnsi="Verdana"/>
              <w:i/>
              <w:sz w:val="16"/>
              <w:szCs w:val="16"/>
              <w:lang w:val="en-GB"/>
            </w:rPr>
            <w:fldChar w:fldCharType="end"/>
          </w:r>
          <w:r w:rsidRPr="00C82816">
            <w:rPr>
              <w:rFonts w:ascii="Verdana" w:hAnsi="Verdana"/>
              <w:i/>
              <w:sz w:val="16"/>
              <w:szCs w:val="16"/>
              <w:lang w:val="en-GB"/>
            </w:rPr>
            <w:t xml:space="preserve"> of </w:t>
          </w:r>
          <w:r w:rsidRPr="00C82816">
            <w:rPr>
              <w:rFonts w:ascii="Verdana" w:hAnsi="Verdana"/>
              <w:i/>
              <w:sz w:val="16"/>
              <w:szCs w:val="16"/>
              <w:lang w:val="en-GB"/>
            </w:rPr>
            <w:fldChar w:fldCharType="begin"/>
          </w:r>
          <w:r w:rsidRPr="00C82816">
            <w:rPr>
              <w:rFonts w:ascii="Verdana" w:hAnsi="Verdana"/>
              <w:i/>
              <w:sz w:val="16"/>
              <w:szCs w:val="16"/>
              <w:lang w:val="en-GB"/>
            </w:rPr>
            <w:instrText xml:space="preserve"> NUMPAGES </w:instrText>
          </w:r>
          <w:r w:rsidRPr="00C82816">
            <w:rPr>
              <w:rFonts w:ascii="Verdana" w:hAnsi="Verdana"/>
              <w:i/>
              <w:sz w:val="16"/>
              <w:szCs w:val="16"/>
              <w:lang w:val="en-GB"/>
            </w:rPr>
            <w:fldChar w:fldCharType="separate"/>
          </w:r>
          <w:r w:rsidR="00E7007A">
            <w:rPr>
              <w:rFonts w:ascii="Verdana" w:hAnsi="Verdana"/>
              <w:i/>
              <w:noProof/>
              <w:sz w:val="16"/>
              <w:szCs w:val="16"/>
              <w:lang w:val="en-GB"/>
            </w:rPr>
            <w:t>4</w:t>
          </w:r>
          <w:r w:rsidRPr="00C82816">
            <w:rPr>
              <w:rFonts w:ascii="Verdana" w:hAnsi="Verdana"/>
              <w:i/>
              <w:sz w:val="16"/>
              <w:szCs w:val="16"/>
              <w:lang w:val="en-GB"/>
            </w:rPr>
            <w:fldChar w:fldCharType="end"/>
          </w:r>
        </w:p>
      </w:tc>
    </w:tr>
  </w:tbl>
  <w:p w:rsidR="00475B45" w:rsidRPr="00C82816" w:rsidRDefault="00475B45" w:rsidP="0073037B">
    <w:pPr>
      <w:pStyle w:val="Footer-Poli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7A" w:rsidRDefault="00E70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45" w:rsidRDefault="00475B45" w:rsidP="00CC17FD">
      <w:r>
        <w:separator/>
      </w:r>
    </w:p>
  </w:footnote>
  <w:footnote w:type="continuationSeparator" w:id="0">
    <w:p w:rsidR="00475B45" w:rsidRDefault="00475B45" w:rsidP="00CC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7A" w:rsidRDefault="00E70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45" w:rsidRPr="00551605" w:rsidRDefault="00475B45" w:rsidP="0073037B">
    <w:pPr>
      <w:pStyle w:val="Header-Policy"/>
      <w:rPr>
        <w:b/>
      </w:rPr>
    </w:pPr>
    <w:r w:rsidRPr="00551605">
      <w:t>Independent Advocacy in the Tropics Inc - Policy Manual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7A" w:rsidRDefault="00E70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C45788"/>
    <w:multiLevelType w:val="hybridMultilevel"/>
    <w:tmpl w:val="95D6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19C"/>
    <w:multiLevelType w:val="hybridMultilevel"/>
    <w:tmpl w:val="158AC3D6"/>
    <w:lvl w:ilvl="0" w:tplc="A49ED04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15CD6"/>
    <w:multiLevelType w:val="hybridMultilevel"/>
    <w:tmpl w:val="A96E5D04"/>
    <w:lvl w:ilvl="0" w:tplc="0C090001">
      <w:start w:val="1"/>
      <w:numFmt w:val="bullet"/>
      <w:lvlText w:val=""/>
      <w:lvlJc w:val="left"/>
      <w:pPr>
        <w:ind w:left="1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</w:abstractNum>
  <w:abstractNum w:abstractNumId="4" w15:restartNumberingAfterBreak="0">
    <w:nsid w:val="14AE0579"/>
    <w:multiLevelType w:val="hybridMultilevel"/>
    <w:tmpl w:val="6710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04969"/>
    <w:multiLevelType w:val="hybridMultilevel"/>
    <w:tmpl w:val="16C6F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47FA"/>
    <w:multiLevelType w:val="hybridMultilevel"/>
    <w:tmpl w:val="0EBEE9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E56D97"/>
    <w:multiLevelType w:val="hybridMultilevel"/>
    <w:tmpl w:val="043CC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69BB"/>
    <w:multiLevelType w:val="hybridMultilevel"/>
    <w:tmpl w:val="FF949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2403B"/>
    <w:multiLevelType w:val="hybridMultilevel"/>
    <w:tmpl w:val="C8702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F7BBF"/>
    <w:multiLevelType w:val="hybridMultilevel"/>
    <w:tmpl w:val="AA1EABFA"/>
    <w:lvl w:ilvl="0" w:tplc="6644960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DD204F"/>
    <w:multiLevelType w:val="hybridMultilevel"/>
    <w:tmpl w:val="3D6221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36973"/>
    <w:multiLevelType w:val="hybridMultilevel"/>
    <w:tmpl w:val="46F6BA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F689A"/>
    <w:multiLevelType w:val="hybridMultilevel"/>
    <w:tmpl w:val="39EC6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65F16"/>
    <w:multiLevelType w:val="hybridMultilevel"/>
    <w:tmpl w:val="30BC0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16BBA"/>
    <w:multiLevelType w:val="hybridMultilevel"/>
    <w:tmpl w:val="153282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8D678C"/>
    <w:multiLevelType w:val="hybridMultilevel"/>
    <w:tmpl w:val="7DB88F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9E33A3"/>
    <w:multiLevelType w:val="hybridMultilevel"/>
    <w:tmpl w:val="6D18BE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149EC"/>
    <w:multiLevelType w:val="hybridMultilevel"/>
    <w:tmpl w:val="6F64B0EE"/>
    <w:lvl w:ilvl="0" w:tplc="A49ED04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37F02"/>
    <w:multiLevelType w:val="hybridMultilevel"/>
    <w:tmpl w:val="803CF4F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0E1269"/>
    <w:multiLevelType w:val="hybridMultilevel"/>
    <w:tmpl w:val="E9260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718E1"/>
    <w:multiLevelType w:val="hybridMultilevel"/>
    <w:tmpl w:val="2F1CAB18"/>
    <w:lvl w:ilvl="0" w:tplc="A49ED04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70B62"/>
    <w:multiLevelType w:val="hybridMultilevel"/>
    <w:tmpl w:val="D7345D62"/>
    <w:lvl w:ilvl="0" w:tplc="A49ED04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15DAA"/>
    <w:multiLevelType w:val="hybridMultilevel"/>
    <w:tmpl w:val="FA2E563E"/>
    <w:lvl w:ilvl="0" w:tplc="A49ED04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A79E5"/>
    <w:multiLevelType w:val="hybridMultilevel"/>
    <w:tmpl w:val="15B40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F1B43"/>
    <w:multiLevelType w:val="hybridMultilevel"/>
    <w:tmpl w:val="01380F04"/>
    <w:lvl w:ilvl="0" w:tplc="A49ED04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B7EB2"/>
    <w:multiLevelType w:val="hybridMultilevel"/>
    <w:tmpl w:val="804EA2C0"/>
    <w:lvl w:ilvl="0" w:tplc="A49ED04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16098"/>
    <w:multiLevelType w:val="hybridMultilevel"/>
    <w:tmpl w:val="FA5AE530"/>
    <w:lvl w:ilvl="0" w:tplc="A49ED04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90C89"/>
    <w:multiLevelType w:val="hybridMultilevel"/>
    <w:tmpl w:val="0DAAA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97FC9"/>
    <w:multiLevelType w:val="multilevel"/>
    <w:tmpl w:val="4E129DB8"/>
    <w:lvl w:ilvl="0">
      <w:start w:val="1"/>
      <w:numFmt w:val="decimal"/>
      <w:pStyle w:val="NFPLawyersNumberingLevel1"/>
      <w:lvlText w:val="%1"/>
      <w:lvlJc w:val="left"/>
      <w:pPr>
        <w:tabs>
          <w:tab w:val="num" w:pos="0"/>
        </w:tabs>
        <w:ind w:left="567" w:hanging="567"/>
      </w:pPr>
      <w:rPr>
        <w:b/>
        <w:bCs/>
        <w:i w:val="0"/>
        <w:iCs w:val="0"/>
      </w:rPr>
    </w:lvl>
    <w:lvl w:ilvl="1">
      <w:start w:val="1"/>
      <w:numFmt w:val="decimal"/>
      <w:pStyle w:val="NFPLawyersNumberingLevel2"/>
      <w:lvlText w:val="%1.%2"/>
      <w:lvlJc w:val="left"/>
      <w:pPr>
        <w:tabs>
          <w:tab w:val="num" w:pos="0"/>
        </w:tabs>
        <w:ind w:left="567" w:hanging="567"/>
      </w:pPr>
      <w:rPr>
        <w:rFonts w:asciiTheme="minorHAnsi" w:hAnsiTheme="minorHAnsi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pStyle w:val="NFPLawyersNumberingLevel3"/>
      <w:lvlText w:val="(%3)"/>
      <w:lvlJc w:val="left"/>
      <w:pPr>
        <w:tabs>
          <w:tab w:val="num" w:pos="0"/>
        </w:tabs>
        <w:ind w:left="1134" w:hanging="567"/>
      </w:pPr>
    </w:lvl>
    <w:lvl w:ilvl="3">
      <w:start w:val="1"/>
      <w:numFmt w:val="lowerRoman"/>
      <w:pStyle w:val="NFPLawyersNumberingLevel4"/>
      <w:lvlText w:val="(%4)"/>
      <w:lvlJc w:val="left"/>
      <w:pPr>
        <w:tabs>
          <w:tab w:val="num" w:pos="0"/>
        </w:tabs>
        <w:ind w:left="1701" w:hanging="567"/>
      </w:pPr>
    </w:lvl>
    <w:lvl w:ilvl="4">
      <w:start w:val="1"/>
      <w:numFmt w:val="upperLetter"/>
      <w:pStyle w:val="NFPLawyersNumberingLevel5"/>
      <w:lvlText w:val="%5."/>
      <w:lvlJc w:val="left"/>
      <w:pPr>
        <w:tabs>
          <w:tab w:val="num" w:pos="0"/>
        </w:tabs>
        <w:ind w:left="2268" w:hanging="56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5176010"/>
    <w:multiLevelType w:val="hybridMultilevel"/>
    <w:tmpl w:val="6DE087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5A042A"/>
    <w:multiLevelType w:val="hybridMultilevel"/>
    <w:tmpl w:val="DFDA6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67E84"/>
    <w:multiLevelType w:val="hybridMultilevel"/>
    <w:tmpl w:val="AE2ECD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A1738A"/>
    <w:multiLevelType w:val="hybridMultilevel"/>
    <w:tmpl w:val="6BECB6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3C10B0"/>
    <w:multiLevelType w:val="hybridMultilevel"/>
    <w:tmpl w:val="E5D6F8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B03C77"/>
    <w:multiLevelType w:val="hybridMultilevel"/>
    <w:tmpl w:val="75AA63CA"/>
    <w:lvl w:ilvl="0" w:tplc="51269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2"/>
  </w:num>
  <w:num w:numId="7">
    <w:abstractNumId w:val="5"/>
  </w:num>
  <w:num w:numId="8">
    <w:abstractNumId w:val="17"/>
  </w:num>
  <w:num w:numId="9">
    <w:abstractNumId w:val="34"/>
  </w:num>
  <w:num w:numId="10">
    <w:abstractNumId w:val="21"/>
  </w:num>
  <w:num w:numId="11">
    <w:abstractNumId w:val="8"/>
  </w:num>
  <w:num w:numId="12">
    <w:abstractNumId w:val="25"/>
  </w:num>
  <w:num w:numId="13">
    <w:abstractNumId w:val="28"/>
  </w:num>
  <w:num w:numId="14">
    <w:abstractNumId w:val="2"/>
  </w:num>
  <w:num w:numId="15">
    <w:abstractNumId w:val="23"/>
  </w:num>
  <w:num w:numId="16">
    <w:abstractNumId w:val="26"/>
  </w:num>
  <w:num w:numId="17">
    <w:abstractNumId w:val="19"/>
  </w:num>
  <w:num w:numId="18">
    <w:abstractNumId w:val="27"/>
  </w:num>
  <w:num w:numId="19">
    <w:abstractNumId w:val="24"/>
  </w:num>
  <w:num w:numId="20">
    <w:abstractNumId w:val="22"/>
  </w:num>
  <w:num w:numId="21">
    <w:abstractNumId w:val="6"/>
  </w:num>
  <w:num w:numId="22">
    <w:abstractNumId w:val="35"/>
  </w:num>
  <w:num w:numId="23">
    <w:abstractNumId w:val="13"/>
  </w:num>
  <w:num w:numId="24">
    <w:abstractNumId w:val="36"/>
  </w:num>
  <w:num w:numId="25">
    <w:abstractNumId w:val="20"/>
  </w:num>
  <w:num w:numId="26">
    <w:abstractNumId w:val="16"/>
  </w:num>
  <w:num w:numId="27">
    <w:abstractNumId w:val="11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9">
    <w:abstractNumId w:val="33"/>
  </w:num>
  <w:num w:numId="30">
    <w:abstractNumId w:val="14"/>
  </w:num>
  <w:num w:numId="31">
    <w:abstractNumId w:val="3"/>
  </w:num>
  <w:num w:numId="32">
    <w:abstractNumId w:val="9"/>
  </w:num>
  <w:num w:numId="33">
    <w:abstractNumId w:val="10"/>
  </w:num>
  <w:num w:numId="34">
    <w:abstractNumId w:val="12"/>
  </w:num>
  <w:num w:numId="35">
    <w:abstractNumId w:val="31"/>
  </w:num>
  <w:num w:numId="36">
    <w:abstractNumId w:val="1"/>
  </w:num>
  <w:num w:numId="3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0E"/>
    <w:rsid w:val="00000100"/>
    <w:rsid w:val="00005500"/>
    <w:rsid w:val="0000588B"/>
    <w:rsid w:val="00012B03"/>
    <w:rsid w:val="00024B5F"/>
    <w:rsid w:val="00025ECC"/>
    <w:rsid w:val="000312E3"/>
    <w:rsid w:val="00032F75"/>
    <w:rsid w:val="00035DAB"/>
    <w:rsid w:val="00041E0B"/>
    <w:rsid w:val="000427A4"/>
    <w:rsid w:val="00043552"/>
    <w:rsid w:val="000467AF"/>
    <w:rsid w:val="00046E14"/>
    <w:rsid w:val="00051762"/>
    <w:rsid w:val="00051EAA"/>
    <w:rsid w:val="00056B0A"/>
    <w:rsid w:val="000620C9"/>
    <w:rsid w:val="00064C6E"/>
    <w:rsid w:val="000724A3"/>
    <w:rsid w:val="00072798"/>
    <w:rsid w:val="000742F1"/>
    <w:rsid w:val="000809A7"/>
    <w:rsid w:val="00082C2B"/>
    <w:rsid w:val="000945FC"/>
    <w:rsid w:val="000949ED"/>
    <w:rsid w:val="000967A2"/>
    <w:rsid w:val="00097D6D"/>
    <w:rsid w:val="000A07C1"/>
    <w:rsid w:val="000A19E5"/>
    <w:rsid w:val="000A290B"/>
    <w:rsid w:val="000A32DA"/>
    <w:rsid w:val="000A4243"/>
    <w:rsid w:val="000B4819"/>
    <w:rsid w:val="000B65D6"/>
    <w:rsid w:val="000C0B45"/>
    <w:rsid w:val="000C4235"/>
    <w:rsid w:val="000D0A5F"/>
    <w:rsid w:val="000D0D9B"/>
    <w:rsid w:val="000D1CA4"/>
    <w:rsid w:val="000E2497"/>
    <w:rsid w:val="000E2B18"/>
    <w:rsid w:val="000E69C2"/>
    <w:rsid w:val="000E7DCB"/>
    <w:rsid w:val="000F1063"/>
    <w:rsid w:val="0010022C"/>
    <w:rsid w:val="00100B3F"/>
    <w:rsid w:val="0010149A"/>
    <w:rsid w:val="0010349C"/>
    <w:rsid w:val="00106EBD"/>
    <w:rsid w:val="00110965"/>
    <w:rsid w:val="00110CA4"/>
    <w:rsid w:val="00111C70"/>
    <w:rsid w:val="001155E8"/>
    <w:rsid w:val="00117D73"/>
    <w:rsid w:val="00122467"/>
    <w:rsid w:val="00125877"/>
    <w:rsid w:val="00134713"/>
    <w:rsid w:val="00135E24"/>
    <w:rsid w:val="00141C58"/>
    <w:rsid w:val="001438FF"/>
    <w:rsid w:val="00145636"/>
    <w:rsid w:val="00152C0F"/>
    <w:rsid w:val="00152C3E"/>
    <w:rsid w:val="00154583"/>
    <w:rsid w:val="00155FE3"/>
    <w:rsid w:val="00157021"/>
    <w:rsid w:val="00165FDF"/>
    <w:rsid w:val="001665D5"/>
    <w:rsid w:val="00176A37"/>
    <w:rsid w:val="0018148C"/>
    <w:rsid w:val="0018609E"/>
    <w:rsid w:val="00191F87"/>
    <w:rsid w:val="001974A8"/>
    <w:rsid w:val="001A08B8"/>
    <w:rsid w:val="001A5891"/>
    <w:rsid w:val="001A5923"/>
    <w:rsid w:val="001A687E"/>
    <w:rsid w:val="001B2565"/>
    <w:rsid w:val="001B3430"/>
    <w:rsid w:val="001B5D1A"/>
    <w:rsid w:val="001B708E"/>
    <w:rsid w:val="001B792E"/>
    <w:rsid w:val="001C0D9F"/>
    <w:rsid w:val="001C3FD0"/>
    <w:rsid w:val="001C60D1"/>
    <w:rsid w:val="001D0D9B"/>
    <w:rsid w:val="001D2818"/>
    <w:rsid w:val="001D47AA"/>
    <w:rsid w:val="001D7475"/>
    <w:rsid w:val="001E0683"/>
    <w:rsid w:val="001E2B5F"/>
    <w:rsid w:val="001E2D5B"/>
    <w:rsid w:val="001F2100"/>
    <w:rsid w:val="001F3729"/>
    <w:rsid w:val="001F67F9"/>
    <w:rsid w:val="001F7393"/>
    <w:rsid w:val="001F788F"/>
    <w:rsid w:val="002034EE"/>
    <w:rsid w:val="002119D6"/>
    <w:rsid w:val="00211B76"/>
    <w:rsid w:val="00215150"/>
    <w:rsid w:val="00217B7F"/>
    <w:rsid w:val="0022108C"/>
    <w:rsid w:val="00222638"/>
    <w:rsid w:val="002229CA"/>
    <w:rsid w:val="00223174"/>
    <w:rsid w:val="00224723"/>
    <w:rsid w:val="002264F3"/>
    <w:rsid w:val="00227E07"/>
    <w:rsid w:val="00231620"/>
    <w:rsid w:val="00232A0A"/>
    <w:rsid w:val="002371B1"/>
    <w:rsid w:val="00241F9C"/>
    <w:rsid w:val="00242B21"/>
    <w:rsid w:val="00243ED7"/>
    <w:rsid w:val="002474A5"/>
    <w:rsid w:val="0025476D"/>
    <w:rsid w:val="00254C5B"/>
    <w:rsid w:val="002551F5"/>
    <w:rsid w:val="00256D93"/>
    <w:rsid w:val="00261D13"/>
    <w:rsid w:val="002700E1"/>
    <w:rsid w:val="00272D35"/>
    <w:rsid w:val="002835BF"/>
    <w:rsid w:val="002863B5"/>
    <w:rsid w:val="00295AFF"/>
    <w:rsid w:val="002A1321"/>
    <w:rsid w:val="002A1CBE"/>
    <w:rsid w:val="002A27EF"/>
    <w:rsid w:val="002A2D94"/>
    <w:rsid w:val="002A6200"/>
    <w:rsid w:val="002B0913"/>
    <w:rsid w:val="002B633D"/>
    <w:rsid w:val="002C2442"/>
    <w:rsid w:val="002C4501"/>
    <w:rsid w:val="002C4AD1"/>
    <w:rsid w:val="002C6082"/>
    <w:rsid w:val="002D20A2"/>
    <w:rsid w:val="002D5390"/>
    <w:rsid w:val="002D6E8D"/>
    <w:rsid w:val="002E087B"/>
    <w:rsid w:val="002E53F9"/>
    <w:rsid w:val="002E574F"/>
    <w:rsid w:val="002F00BE"/>
    <w:rsid w:val="002F18BC"/>
    <w:rsid w:val="002F3750"/>
    <w:rsid w:val="002F4223"/>
    <w:rsid w:val="002F784A"/>
    <w:rsid w:val="00301DFB"/>
    <w:rsid w:val="00302791"/>
    <w:rsid w:val="00303BFF"/>
    <w:rsid w:val="00312E1A"/>
    <w:rsid w:val="0031530E"/>
    <w:rsid w:val="00315DD9"/>
    <w:rsid w:val="00321B13"/>
    <w:rsid w:val="003234EF"/>
    <w:rsid w:val="00330E3B"/>
    <w:rsid w:val="003358F8"/>
    <w:rsid w:val="003361AF"/>
    <w:rsid w:val="0034212E"/>
    <w:rsid w:val="00343BCE"/>
    <w:rsid w:val="00354095"/>
    <w:rsid w:val="00355913"/>
    <w:rsid w:val="003625A5"/>
    <w:rsid w:val="00362D80"/>
    <w:rsid w:val="00365311"/>
    <w:rsid w:val="003668A0"/>
    <w:rsid w:val="003739A3"/>
    <w:rsid w:val="00383DF7"/>
    <w:rsid w:val="00387D33"/>
    <w:rsid w:val="003907CD"/>
    <w:rsid w:val="0039750F"/>
    <w:rsid w:val="003A07AC"/>
    <w:rsid w:val="003A6825"/>
    <w:rsid w:val="003A71A5"/>
    <w:rsid w:val="003B01DD"/>
    <w:rsid w:val="003B3A5E"/>
    <w:rsid w:val="003B5D22"/>
    <w:rsid w:val="003C1231"/>
    <w:rsid w:val="003C300F"/>
    <w:rsid w:val="003C36B1"/>
    <w:rsid w:val="003C69BB"/>
    <w:rsid w:val="003D4987"/>
    <w:rsid w:val="003D4BC7"/>
    <w:rsid w:val="003D4CD2"/>
    <w:rsid w:val="003D6287"/>
    <w:rsid w:val="003D66BB"/>
    <w:rsid w:val="003E2D17"/>
    <w:rsid w:val="003E38F7"/>
    <w:rsid w:val="003E6892"/>
    <w:rsid w:val="003E6AE6"/>
    <w:rsid w:val="003E736B"/>
    <w:rsid w:val="003F0450"/>
    <w:rsid w:val="003F0C57"/>
    <w:rsid w:val="003F4299"/>
    <w:rsid w:val="003F4658"/>
    <w:rsid w:val="003F7A19"/>
    <w:rsid w:val="003F7F3F"/>
    <w:rsid w:val="004022F2"/>
    <w:rsid w:val="004046C8"/>
    <w:rsid w:val="00413C30"/>
    <w:rsid w:val="00431826"/>
    <w:rsid w:val="00431C0F"/>
    <w:rsid w:val="00434A9F"/>
    <w:rsid w:val="00441B58"/>
    <w:rsid w:val="004429D4"/>
    <w:rsid w:val="00442AE0"/>
    <w:rsid w:val="00444F0A"/>
    <w:rsid w:val="00446355"/>
    <w:rsid w:val="00447570"/>
    <w:rsid w:val="00450A71"/>
    <w:rsid w:val="004524E0"/>
    <w:rsid w:val="00453E80"/>
    <w:rsid w:val="00457A26"/>
    <w:rsid w:val="00465702"/>
    <w:rsid w:val="00466136"/>
    <w:rsid w:val="00471F79"/>
    <w:rsid w:val="004724D6"/>
    <w:rsid w:val="0047287A"/>
    <w:rsid w:val="00474DDF"/>
    <w:rsid w:val="004759A4"/>
    <w:rsid w:val="00475B45"/>
    <w:rsid w:val="004877DA"/>
    <w:rsid w:val="00491287"/>
    <w:rsid w:val="004916AB"/>
    <w:rsid w:val="00491AAF"/>
    <w:rsid w:val="00492071"/>
    <w:rsid w:val="0049230F"/>
    <w:rsid w:val="004A07DC"/>
    <w:rsid w:val="004A3491"/>
    <w:rsid w:val="004A5F92"/>
    <w:rsid w:val="004A6CBA"/>
    <w:rsid w:val="004B0F9C"/>
    <w:rsid w:val="004B7C0C"/>
    <w:rsid w:val="004C4B95"/>
    <w:rsid w:val="004C6EE7"/>
    <w:rsid w:val="004C7A33"/>
    <w:rsid w:val="004D0127"/>
    <w:rsid w:val="004D07C0"/>
    <w:rsid w:val="004D4C62"/>
    <w:rsid w:val="004D675E"/>
    <w:rsid w:val="004E443B"/>
    <w:rsid w:val="004E750C"/>
    <w:rsid w:val="004F1F44"/>
    <w:rsid w:val="004F2E36"/>
    <w:rsid w:val="00506930"/>
    <w:rsid w:val="00513513"/>
    <w:rsid w:val="005157D4"/>
    <w:rsid w:val="0052653B"/>
    <w:rsid w:val="005302EB"/>
    <w:rsid w:val="005337CE"/>
    <w:rsid w:val="00535C89"/>
    <w:rsid w:val="00543158"/>
    <w:rsid w:val="00551605"/>
    <w:rsid w:val="00552715"/>
    <w:rsid w:val="00561551"/>
    <w:rsid w:val="005617E9"/>
    <w:rsid w:val="00564CA7"/>
    <w:rsid w:val="00566D4B"/>
    <w:rsid w:val="005846EA"/>
    <w:rsid w:val="0059187E"/>
    <w:rsid w:val="00594D0B"/>
    <w:rsid w:val="005A0C87"/>
    <w:rsid w:val="005A7675"/>
    <w:rsid w:val="005B19D2"/>
    <w:rsid w:val="005C0F10"/>
    <w:rsid w:val="005C1B71"/>
    <w:rsid w:val="005C608F"/>
    <w:rsid w:val="005C7E93"/>
    <w:rsid w:val="005D7835"/>
    <w:rsid w:val="005E0E85"/>
    <w:rsid w:val="005F0E5A"/>
    <w:rsid w:val="005F677A"/>
    <w:rsid w:val="00600F89"/>
    <w:rsid w:val="00604229"/>
    <w:rsid w:val="00612679"/>
    <w:rsid w:val="00615035"/>
    <w:rsid w:val="006169D6"/>
    <w:rsid w:val="0062323E"/>
    <w:rsid w:val="006271F8"/>
    <w:rsid w:val="006277D7"/>
    <w:rsid w:val="0063085F"/>
    <w:rsid w:val="00635011"/>
    <w:rsid w:val="006355DF"/>
    <w:rsid w:val="00641D1E"/>
    <w:rsid w:val="006453A9"/>
    <w:rsid w:val="00650B6B"/>
    <w:rsid w:val="006511CA"/>
    <w:rsid w:val="0065138B"/>
    <w:rsid w:val="00657FC1"/>
    <w:rsid w:val="0066798C"/>
    <w:rsid w:val="006719AF"/>
    <w:rsid w:val="00674672"/>
    <w:rsid w:val="006752D4"/>
    <w:rsid w:val="00683E68"/>
    <w:rsid w:val="006847F4"/>
    <w:rsid w:val="0069312C"/>
    <w:rsid w:val="006A0796"/>
    <w:rsid w:val="006A2BE9"/>
    <w:rsid w:val="006A3E7E"/>
    <w:rsid w:val="006A48EF"/>
    <w:rsid w:val="006A5075"/>
    <w:rsid w:val="006B24BA"/>
    <w:rsid w:val="006B2F81"/>
    <w:rsid w:val="006B3A42"/>
    <w:rsid w:val="006B6ADD"/>
    <w:rsid w:val="006B762D"/>
    <w:rsid w:val="006C2BFB"/>
    <w:rsid w:val="006C4A92"/>
    <w:rsid w:val="006C7D2B"/>
    <w:rsid w:val="006D1381"/>
    <w:rsid w:val="006D1A60"/>
    <w:rsid w:val="006E2146"/>
    <w:rsid w:val="006E5A04"/>
    <w:rsid w:val="006E61ED"/>
    <w:rsid w:val="006F2B4B"/>
    <w:rsid w:val="0070613F"/>
    <w:rsid w:val="00710188"/>
    <w:rsid w:val="007177D8"/>
    <w:rsid w:val="00724DC7"/>
    <w:rsid w:val="0073037B"/>
    <w:rsid w:val="00735DEB"/>
    <w:rsid w:val="007449E5"/>
    <w:rsid w:val="00745246"/>
    <w:rsid w:val="00750FC8"/>
    <w:rsid w:val="00760B54"/>
    <w:rsid w:val="0076141C"/>
    <w:rsid w:val="00762B03"/>
    <w:rsid w:val="00763873"/>
    <w:rsid w:val="007644B4"/>
    <w:rsid w:val="00765DDE"/>
    <w:rsid w:val="00766B87"/>
    <w:rsid w:val="00771939"/>
    <w:rsid w:val="007721E2"/>
    <w:rsid w:val="007814C9"/>
    <w:rsid w:val="007849D2"/>
    <w:rsid w:val="007874B6"/>
    <w:rsid w:val="00793795"/>
    <w:rsid w:val="0079528E"/>
    <w:rsid w:val="007A2F33"/>
    <w:rsid w:val="007A4CA7"/>
    <w:rsid w:val="007A5067"/>
    <w:rsid w:val="007A763E"/>
    <w:rsid w:val="007B4451"/>
    <w:rsid w:val="007B59AA"/>
    <w:rsid w:val="007B6BE5"/>
    <w:rsid w:val="007C1251"/>
    <w:rsid w:val="007C1893"/>
    <w:rsid w:val="007C1BD4"/>
    <w:rsid w:val="007C24E1"/>
    <w:rsid w:val="007C4E10"/>
    <w:rsid w:val="007C6928"/>
    <w:rsid w:val="007C6FE6"/>
    <w:rsid w:val="007C7DF0"/>
    <w:rsid w:val="007D1F69"/>
    <w:rsid w:val="007E15AB"/>
    <w:rsid w:val="007E1689"/>
    <w:rsid w:val="007E37F1"/>
    <w:rsid w:val="007E6AF3"/>
    <w:rsid w:val="007E769D"/>
    <w:rsid w:val="007F53BE"/>
    <w:rsid w:val="007F5824"/>
    <w:rsid w:val="007F60F3"/>
    <w:rsid w:val="007F6BB0"/>
    <w:rsid w:val="007F6D76"/>
    <w:rsid w:val="007F7D73"/>
    <w:rsid w:val="0080421F"/>
    <w:rsid w:val="00804957"/>
    <w:rsid w:val="00807587"/>
    <w:rsid w:val="0081233D"/>
    <w:rsid w:val="00813A47"/>
    <w:rsid w:val="00813C6A"/>
    <w:rsid w:val="0081545A"/>
    <w:rsid w:val="00817383"/>
    <w:rsid w:val="00825D48"/>
    <w:rsid w:val="00835573"/>
    <w:rsid w:val="00846A83"/>
    <w:rsid w:val="00846F8D"/>
    <w:rsid w:val="00851F2B"/>
    <w:rsid w:val="008545C1"/>
    <w:rsid w:val="00854FDD"/>
    <w:rsid w:val="00860ACF"/>
    <w:rsid w:val="00860B9F"/>
    <w:rsid w:val="00861615"/>
    <w:rsid w:val="00861D0E"/>
    <w:rsid w:val="0086250B"/>
    <w:rsid w:val="00863BF1"/>
    <w:rsid w:val="00865B88"/>
    <w:rsid w:val="00875BC3"/>
    <w:rsid w:val="0087705B"/>
    <w:rsid w:val="00882111"/>
    <w:rsid w:val="008835C3"/>
    <w:rsid w:val="00885407"/>
    <w:rsid w:val="00887705"/>
    <w:rsid w:val="00892350"/>
    <w:rsid w:val="00893416"/>
    <w:rsid w:val="008A3A34"/>
    <w:rsid w:val="008A3FB9"/>
    <w:rsid w:val="008A46CC"/>
    <w:rsid w:val="008B2089"/>
    <w:rsid w:val="008B74CB"/>
    <w:rsid w:val="008C1901"/>
    <w:rsid w:val="008C2060"/>
    <w:rsid w:val="008C4AF9"/>
    <w:rsid w:val="008C4CD4"/>
    <w:rsid w:val="008C53E7"/>
    <w:rsid w:val="008C5F11"/>
    <w:rsid w:val="008C6B89"/>
    <w:rsid w:val="008D62FA"/>
    <w:rsid w:val="008E24BB"/>
    <w:rsid w:val="008E5AC1"/>
    <w:rsid w:val="008E60AA"/>
    <w:rsid w:val="008E6952"/>
    <w:rsid w:val="008E7180"/>
    <w:rsid w:val="008F0BFA"/>
    <w:rsid w:val="008F2B68"/>
    <w:rsid w:val="008F52A7"/>
    <w:rsid w:val="008F581C"/>
    <w:rsid w:val="008F603E"/>
    <w:rsid w:val="008F7507"/>
    <w:rsid w:val="00900041"/>
    <w:rsid w:val="00902EF7"/>
    <w:rsid w:val="0090561C"/>
    <w:rsid w:val="00906F44"/>
    <w:rsid w:val="009115FD"/>
    <w:rsid w:val="0092496D"/>
    <w:rsid w:val="009255B5"/>
    <w:rsid w:val="009268B3"/>
    <w:rsid w:val="00927BD4"/>
    <w:rsid w:val="00927CE5"/>
    <w:rsid w:val="009301B0"/>
    <w:rsid w:val="00934F34"/>
    <w:rsid w:val="009351EA"/>
    <w:rsid w:val="00936879"/>
    <w:rsid w:val="00944F77"/>
    <w:rsid w:val="00954031"/>
    <w:rsid w:val="00954EEA"/>
    <w:rsid w:val="0095645F"/>
    <w:rsid w:val="00961D89"/>
    <w:rsid w:val="009639CC"/>
    <w:rsid w:val="00963DF7"/>
    <w:rsid w:val="009644DA"/>
    <w:rsid w:val="009667B6"/>
    <w:rsid w:val="00967F4A"/>
    <w:rsid w:val="0097209B"/>
    <w:rsid w:val="00972CAE"/>
    <w:rsid w:val="00975804"/>
    <w:rsid w:val="00982079"/>
    <w:rsid w:val="009824EF"/>
    <w:rsid w:val="009829D3"/>
    <w:rsid w:val="00983CD5"/>
    <w:rsid w:val="009955F0"/>
    <w:rsid w:val="0099760F"/>
    <w:rsid w:val="009A14F2"/>
    <w:rsid w:val="009A1BF3"/>
    <w:rsid w:val="009B0044"/>
    <w:rsid w:val="009B29C8"/>
    <w:rsid w:val="009B3B5D"/>
    <w:rsid w:val="009C0570"/>
    <w:rsid w:val="009C1309"/>
    <w:rsid w:val="009C4126"/>
    <w:rsid w:val="009C6C2D"/>
    <w:rsid w:val="009D099D"/>
    <w:rsid w:val="009D1DA7"/>
    <w:rsid w:val="009D4016"/>
    <w:rsid w:val="009D42A9"/>
    <w:rsid w:val="009E18EF"/>
    <w:rsid w:val="009E1C25"/>
    <w:rsid w:val="009E2E86"/>
    <w:rsid w:val="009E2EEE"/>
    <w:rsid w:val="009E39B2"/>
    <w:rsid w:val="009E3B61"/>
    <w:rsid w:val="009E4327"/>
    <w:rsid w:val="009E479C"/>
    <w:rsid w:val="009E6C99"/>
    <w:rsid w:val="009F5CF8"/>
    <w:rsid w:val="009F66E6"/>
    <w:rsid w:val="009F7CC4"/>
    <w:rsid w:val="00A018B4"/>
    <w:rsid w:val="00A03C11"/>
    <w:rsid w:val="00A052F1"/>
    <w:rsid w:val="00A07300"/>
    <w:rsid w:val="00A10BBE"/>
    <w:rsid w:val="00A15FD1"/>
    <w:rsid w:val="00A17064"/>
    <w:rsid w:val="00A23B72"/>
    <w:rsid w:val="00A26185"/>
    <w:rsid w:val="00A42509"/>
    <w:rsid w:val="00A42B72"/>
    <w:rsid w:val="00A461A4"/>
    <w:rsid w:val="00A5008A"/>
    <w:rsid w:val="00A50358"/>
    <w:rsid w:val="00A51EEB"/>
    <w:rsid w:val="00A555A4"/>
    <w:rsid w:val="00A55C5D"/>
    <w:rsid w:val="00A63570"/>
    <w:rsid w:val="00A72051"/>
    <w:rsid w:val="00A85C81"/>
    <w:rsid w:val="00A8787B"/>
    <w:rsid w:val="00A94CA1"/>
    <w:rsid w:val="00A96D8E"/>
    <w:rsid w:val="00AA0195"/>
    <w:rsid w:val="00AA24B4"/>
    <w:rsid w:val="00AA541C"/>
    <w:rsid w:val="00AB01D5"/>
    <w:rsid w:val="00AB4982"/>
    <w:rsid w:val="00AB4A26"/>
    <w:rsid w:val="00AB5ADE"/>
    <w:rsid w:val="00AB66F8"/>
    <w:rsid w:val="00AC1039"/>
    <w:rsid w:val="00AC2652"/>
    <w:rsid w:val="00AC73AC"/>
    <w:rsid w:val="00AD1D3B"/>
    <w:rsid w:val="00AD3003"/>
    <w:rsid w:val="00AD5528"/>
    <w:rsid w:val="00AD66CF"/>
    <w:rsid w:val="00AD7357"/>
    <w:rsid w:val="00AE2CC8"/>
    <w:rsid w:val="00AE5B1D"/>
    <w:rsid w:val="00AE5CCF"/>
    <w:rsid w:val="00AE700E"/>
    <w:rsid w:val="00AF1B35"/>
    <w:rsid w:val="00AF1B65"/>
    <w:rsid w:val="00AF63BE"/>
    <w:rsid w:val="00B02B56"/>
    <w:rsid w:val="00B04006"/>
    <w:rsid w:val="00B1165B"/>
    <w:rsid w:val="00B12C1B"/>
    <w:rsid w:val="00B138A4"/>
    <w:rsid w:val="00B14AC5"/>
    <w:rsid w:val="00B214C6"/>
    <w:rsid w:val="00B2215F"/>
    <w:rsid w:val="00B349E5"/>
    <w:rsid w:val="00B34DFE"/>
    <w:rsid w:val="00B4513E"/>
    <w:rsid w:val="00B45181"/>
    <w:rsid w:val="00B451A7"/>
    <w:rsid w:val="00B470C1"/>
    <w:rsid w:val="00B47A8C"/>
    <w:rsid w:val="00B47E1A"/>
    <w:rsid w:val="00B50FBC"/>
    <w:rsid w:val="00B53225"/>
    <w:rsid w:val="00B56606"/>
    <w:rsid w:val="00B5683C"/>
    <w:rsid w:val="00B66940"/>
    <w:rsid w:val="00B7265D"/>
    <w:rsid w:val="00B80238"/>
    <w:rsid w:val="00B92AE7"/>
    <w:rsid w:val="00B95F14"/>
    <w:rsid w:val="00B96433"/>
    <w:rsid w:val="00B965CF"/>
    <w:rsid w:val="00B971C1"/>
    <w:rsid w:val="00BA1818"/>
    <w:rsid w:val="00BA6D6E"/>
    <w:rsid w:val="00BC2B3F"/>
    <w:rsid w:val="00BD1ECB"/>
    <w:rsid w:val="00BD50A7"/>
    <w:rsid w:val="00BE01FC"/>
    <w:rsid w:val="00BE0437"/>
    <w:rsid w:val="00BE092C"/>
    <w:rsid w:val="00BE0B75"/>
    <w:rsid w:val="00BE31F7"/>
    <w:rsid w:val="00BE3668"/>
    <w:rsid w:val="00BE7540"/>
    <w:rsid w:val="00BF1424"/>
    <w:rsid w:val="00BF247C"/>
    <w:rsid w:val="00BF5508"/>
    <w:rsid w:val="00C00E8A"/>
    <w:rsid w:val="00C05E31"/>
    <w:rsid w:val="00C06B43"/>
    <w:rsid w:val="00C06BCF"/>
    <w:rsid w:val="00C06C6D"/>
    <w:rsid w:val="00C0771E"/>
    <w:rsid w:val="00C108F7"/>
    <w:rsid w:val="00C1350A"/>
    <w:rsid w:val="00C136D0"/>
    <w:rsid w:val="00C15E80"/>
    <w:rsid w:val="00C20BDF"/>
    <w:rsid w:val="00C342B4"/>
    <w:rsid w:val="00C366BE"/>
    <w:rsid w:val="00C36830"/>
    <w:rsid w:val="00C36990"/>
    <w:rsid w:val="00C37E56"/>
    <w:rsid w:val="00C43078"/>
    <w:rsid w:val="00C47E9D"/>
    <w:rsid w:val="00C5202E"/>
    <w:rsid w:val="00C55F36"/>
    <w:rsid w:val="00C566AD"/>
    <w:rsid w:val="00C56FCB"/>
    <w:rsid w:val="00C632DC"/>
    <w:rsid w:val="00C636B7"/>
    <w:rsid w:val="00C67762"/>
    <w:rsid w:val="00C74F3E"/>
    <w:rsid w:val="00C767EE"/>
    <w:rsid w:val="00C776DE"/>
    <w:rsid w:val="00C77C3B"/>
    <w:rsid w:val="00C8202F"/>
    <w:rsid w:val="00C827D4"/>
    <w:rsid w:val="00C82816"/>
    <w:rsid w:val="00C86DB9"/>
    <w:rsid w:val="00C87821"/>
    <w:rsid w:val="00C95405"/>
    <w:rsid w:val="00CA09CC"/>
    <w:rsid w:val="00CA4691"/>
    <w:rsid w:val="00CA688A"/>
    <w:rsid w:val="00CA6A25"/>
    <w:rsid w:val="00CB11B8"/>
    <w:rsid w:val="00CB6A30"/>
    <w:rsid w:val="00CB6B1F"/>
    <w:rsid w:val="00CC17FD"/>
    <w:rsid w:val="00CC2DA6"/>
    <w:rsid w:val="00CC34D5"/>
    <w:rsid w:val="00CC3EC0"/>
    <w:rsid w:val="00CC6667"/>
    <w:rsid w:val="00CD2BF7"/>
    <w:rsid w:val="00CD368D"/>
    <w:rsid w:val="00CD46CD"/>
    <w:rsid w:val="00CD4F83"/>
    <w:rsid w:val="00CD50BF"/>
    <w:rsid w:val="00CD5FCA"/>
    <w:rsid w:val="00CD6427"/>
    <w:rsid w:val="00CE36BF"/>
    <w:rsid w:val="00CE44F6"/>
    <w:rsid w:val="00CE6219"/>
    <w:rsid w:val="00CF2B04"/>
    <w:rsid w:val="00CF2BA6"/>
    <w:rsid w:val="00CF537B"/>
    <w:rsid w:val="00CF681D"/>
    <w:rsid w:val="00CF7429"/>
    <w:rsid w:val="00D00638"/>
    <w:rsid w:val="00D0123E"/>
    <w:rsid w:val="00D01C39"/>
    <w:rsid w:val="00D044F1"/>
    <w:rsid w:val="00D164C7"/>
    <w:rsid w:val="00D2048C"/>
    <w:rsid w:val="00D20559"/>
    <w:rsid w:val="00D237BC"/>
    <w:rsid w:val="00D23C09"/>
    <w:rsid w:val="00D303C1"/>
    <w:rsid w:val="00D303F1"/>
    <w:rsid w:val="00D308DE"/>
    <w:rsid w:val="00D31C75"/>
    <w:rsid w:val="00D37B48"/>
    <w:rsid w:val="00D37F4C"/>
    <w:rsid w:val="00D418B8"/>
    <w:rsid w:val="00D420CD"/>
    <w:rsid w:val="00D57433"/>
    <w:rsid w:val="00D63050"/>
    <w:rsid w:val="00D64DD9"/>
    <w:rsid w:val="00D6652F"/>
    <w:rsid w:val="00D66AD8"/>
    <w:rsid w:val="00D66DBF"/>
    <w:rsid w:val="00D676ED"/>
    <w:rsid w:val="00D705F6"/>
    <w:rsid w:val="00D717F4"/>
    <w:rsid w:val="00D729FF"/>
    <w:rsid w:val="00D7540E"/>
    <w:rsid w:val="00D8222F"/>
    <w:rsid w:val="00D82CCC"/>
    <w:rsid w:val="00D847F4"/>
    <w:rsid w:val="00D9269E"/>
    <w:rsid w:val="00D95706"/>
    <w:rsid w:val="00D972AA"/>
    <w:rsid w:val="00DA37F7"/>
    <w:rsid w:val="00DA540B"/>
    <w:rsid w:val="00DB6586"/>
    <w:rsid w:val="00DB68E9"/>
    <w:rsid w:val="00DC6181"/>
    <w:rsid w:val="00DC6777"/>
    <w:rsid w:val="00DD02C9"/>
    <w:rsid w:val="00DD135A"/>
    <w:rsid w:val="00DD4D6E"/>
    <w:rsid w:val="00DD67FC"/>
    <w:rsid w:val="00DE2A49"/>
    <w:rsid w:val="00DE42B7"/>
    <w:rsid w:val="00DF14DF"/>
    <w:rsid w:val="00DF22AC"/>
    <w:rsid w:val="00DF4586"/>
    <w:rsid w:val="00DF7DEC"/>
    <w:rsid w:val="00E041CE"/>
    <w:rsid w:val="00E12B4E"/>
    <w:rsid w:val="00E15AE2"/>
    <w:rsid w:val="00E20E9D"/>
    <w:rsid w:val="00E2235A"/>
    <w:rsid w:val="00E339D2"/>
    <w:rsid w:val="00E33ABA"/>
    <w:rsid w:val="00E377E6"/>
    <w:rsid w:val="00E37ADE"/>
    <w:rsid w:val="00E43BE7"/>
    <w:rsid w:val="00E446E1"/>
    <w:rsid w:val="00E4684F"/>
    <w:rsid w:val="00E47561"/>
    <w:rsid w:val="00E50239"/>
    <w:rsid w:val="00E5230E"/>
    <w:rsid w:val="00E5286A"/>
    <w:rsid w:val="00E5500A"/>
    <w:rsid w:val="00E6083E"/>
    <w:rsid w:val="00E64EDE"/>
    <w:rsid w:val="00E67DFF"/>
    <w:rsid w:val="00E7007A"/>
    <w:rsid w:val="00E736E5"/>
    <w:rsid w:val="00E82C56"/>
    <w:rsid w:val="00E85B53"/>
    <w:rsid w:val="00E85EEF"/>
    <w:rsid w:val="00E91E50"/>
    <w:rsid w:val="00E92491"/>
    <w:rsid w:val="00E92A03"/>
    <w:rsid w:val="00E94D02"/>
    <w:rsid w:val="00E951B2"/>
    <w:rsid w:val="00E9568C"/>
    <w:rsid w:val="00E95E62"/>
    <w:rsid w:val="00EA194B"/>
    <w:rsid w:val="00EA2A8F"/>
    <w:rsid w:val="00EA56F4"/>
    <w:rsid w:val="00EA6870"/>
    <w:rsid w:val="00EB3EA5"/>
    <w:rsid w:val="00EC34E7"/>
    <w:rsid w:val="00EC57EC"/>
    <w:rsid w:val="00EC5B49"/>
    <w:rsid w:val="00ED2F8E"/>
    <w:rsid w:val="00EE18E6"/>
    <w:rsid w:val="00EE1CDC"/>
    <w:rsid w:val="00EF0A13"/>
    <w:rsid w:val="00EF0AFF"/>
    <w:rsid w:val="00EF4492"/>
    <w:rsid w:val="00EF6291"/>
    <w:rsid w:val="00F0317F"/>
    <w:rsid w:val="00F06B29"/>
    <w:rsid w:val="00F072D2"/>
    <w:rsid w:val="00F11A49"/>
    <w:rsid w:val="00F13505"/>
    <w:rsid w:val="00F175DF"/>
    <w:rsid w:val="00F23D4B"/>
    <w:rsid w:val="00F32098"/>
    <w:rsid w:val="00F33421"/>
    <w:rsid w:val="00F35193"/>
    <w:rsid w:val="00F40D9B"/>
    <w:rsid w:val="00F42040"/>
    <w:rsid w:val="00F42AF4"/>
    <w:rsid w:val="00F462D7"/>
    <w:rsid w:val="00F51497"/>
    <w:rsid w:val="00F51EE6"/>
    <w:rsid w:val="00F604A8"/>
    <w:rsid w:val="00F606DD"/>
    <w:rsid w:val="00F623EC"/>
    <w:rsid w:val="00F9125D"/>
    <w:rsid w:val="00FA0633"/>
    <w:rsid w:val="00FA22F8"/>
    <w:rsid w:val="00FA6E94"/>
    <w:rsid w:val="00FB2134"/>
    <w:rsid w:val="00FB3B9F"/>
    <w:rsid w:val="00FC107B"/>
    <w:rsid w:val="00FC13F2"/>
    <w:rsid w:val="00FC3CC1"/>
    <w:rsid w:val="00FC55F4"/>
    <w:rsid w:val="00FC62E3"/>
    <w:rsid w:val="00FD5885"/>
    <w:rsid w:val="00FE1758"/>
    <w:rsid w:val="00FE534D"/>
    <w:rsid w:val="00FF0FCE"/>
    <w:rsid w:val="00FF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01D8596C"/>
  <w15:docId w15:val="{AD2497CA-DDF3-44BA-B039-21B911CF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FD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4672"/>
    <w:pPr>
      <w:keepNext/>
      <w:keepLines/>
      <w:spacing w:before="200" w:after="200"/>
      <w:jc w:val="center"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12B03"/>
    <w:pPr>
      <w:keepNext/>
      <w:keepLines/>
      <w:spacing w:before="400" w:after="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72CAE"/>
    <w:pPr>
      <w:keepNext/>
      <w:keepLines/>
      <w:spacing w:after="6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D044F1"/>
    <w:rPr>
      <w:rFonts w:eastAsia="MS Mincho"/>
      <w:sz w:val="22"/>
    </w:rPr>
  </w:style>
  <w:style w:type="table" w:styleId="TableGrid">
    <w:name w:val="Table Grid"/>
    <w:basedOn w:val="TableNormal"/>
    <w:rsid w:val="00A0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C45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4501"/>
    <w:pPr>
      <w:tabs>
        <w:tab w:val="center" w:pos="4320"/>
        <w:tab w:val="right" w:pos="8640"/>
      </w:tabs>
    </w:pPr>
  </w:style>
  <w:style w:type="character" w:styleId="Hyperlink">
    <w:name w:val="Hyperlink"/>
    <w:rsid w:val="00D303C1"/>
    <w:rPr>
      <w:color w:val="0000FF"/>
      <w:u w:val="single"/>
    </w:rPr>
  </w:style>
  <w:style w:type="paragraph" w:styleId="BalloonText">
    <w:name w:val="Balloon Text"/>
    <w:basedOn w:val="Normal"/>
    <w:semiHidden/>
    <w:rsid w:val="007C7DF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C3EC0"/>
    <w:rPr>
      <w:color w:val="800080"/>
      <w:u w:val="single"/>
    </w:rPr>
  </w:style>
  <w:style w:type="paragraph" w:styleId="Revision">
    <w:name w:val="Revision"/>
    <w:hidden/>
    <w:uiPriority w:val="99"/>
    <w:semiHidden/>
    <w:rsid w:val="003D4CD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B3B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4672"/>
    <w:rPr>
      <w:rFonts w:ascii="Verdana" w:eastAsiaTheme="majorEastAsia" w:hAnsi="Verdana" w:cstheme="majorBidi"/>
      <w:b/>
      <w:bCs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12B03"/>
    <w:rPr>
      <w:rFonts w:ascii="Arial" w:eastAsiaTheme="majorEastAsia" w:hAnsi="Arial" w:cstheme="majorBidi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72CAE"/>
    <w:rPr>
      <w:rFonts w:ascii="Arial" w:eastAsiaTheme="majorEastAsia" w:hAnsi="Arial" w:cstheme="majorBidi"/>
      <w:b/>
      <w:bCs/>
      <w:color w:val="000000" w:themeColor="text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E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EE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EEF"/>
    <w:rPr>
      <w:rFonts w:ascii="Arial" w:hAnsi="Arial"/>
      <w:b/>
      <w:bCs/>
      <w:lang w:eastAsia="en-US"/>
    </w:rPr>
  </w:style>
  <w:style w:type="paragraph" w:customStyle="1" w:styleId="NFPLawyersNumberingLevel1">
    <w:name w:val="NFP Lawyers Numbering Level 1"/>
    <w:qFormat/>
    <w:rsid w:val="00D64DD9"/>
    <w:pPr>
      <w:keepNext/>
      <w:numPr>
        <w:numId w:val="4"/>
      </w:numPr>
      <w:pBdr>
        <w:bottom w:val="single" w:sz="18" w:space="1" w:color="auto"/>
      </w:pBdr>
      <w:spacing w:before="240" w:after="120"/>
      <w:outlineLvl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NFPLawyersNumberingLevel2">
    <w:name w:val="NFP Lawyers Numbering Level 2"/>
    <w:qFormat/>
    <w:rsid w:val="00D64DD9"/>
    <w:pPr>
      <w:numPr>
        <w:ilvl w:val="1"/>
        <w:numId w:val="4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paragraph" w:customStyle="1" w:styleId="NFPLawyersNumberingLevel3">
    <w:name w:val="NFP Lawyers Numbering Level 3"/>
    <w:qFormat/>
    <w:rsid w:val="00D64DD9"/>
    <w:pPr>
      <w:numPr>
        <w:ilvl w:val="2"/>
        <w:numId w:val="4"/>
      </w:numPr>
      <w:tabs>
        <w:tab w:val="left" w:pos="1134"/>
      </w:tabs>
      <w:spacing w:after="120"/>
    </w:pPr>
    <w:rPr>
      <w:rFonts w:ascii="Arial" w:hAnsi="Arial" w:cs="Arial"/>
      <w:sz w:val="22"/>
      <w:szCs w:val="22"/>
      <w:lang w:val="en-GB" w:eastAsia="en-US"/>
    </w:rPr>
  </w:style>
  <w:style w:type="paragraph" w:customStyle="1" w:styleId="NFPLawyersNumberingLevel4">
    <w:name w:val="NFP Lawyers Numbering Level 4"/>
    <w:basedOn w:val="Normal"/>
    <w:qFormat/>
    <w:rsid w:val="00D64DD9"/>
    <w:pPr>
      <w:numPr>
        <w:ilvl w:val="3"/>
        <w:numId w:val="4"/>
      </w:numPr>
    </w:pPr>
    <w:rPr>
      <w:sz w:val="22"/>
      <w:szCs w:val="22"/>
      <w:lang w:val="en-GB"/>
    </w:rPr>
  </w:style>
  <w:style w:type="paragraph" w:customStyle="1" w:styleId="NFPLawyersNumberingLevel5">
    <w:name w:val="NFP Lawyers Numbering Level 5"/>
    <w:basedOn w:val="Normal"/>
    <w:qFormat/>
    <w:rsid w:val="00D64DD9"/>
    <w:pPr>
      <w:numPr>
        <w:ilvl w:val="4"/>
        <w:numId w:val="4"/>
      </w:numPr>
    </w:pPr>
    <w:rPr>
      <w:sz w:val="22"/>
      <w:szCs w:val="22"/>
      <w:lang w:val="en-US"/>
    </w:rPr>
  </w:style>
  <w:style w:type="paragraph" w:styleId="NoSpacing">
    <w:name w:val="No Spacing"/>
    <w:uiPriority w:val="1"/>
    <w:qFormat/>
    <w:rsid w:val="00492071"/>
    <w:rPr>
      <w:rFonts w:ascii="Arial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36D0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36D0"/>
    <w:rPr>
      <w:rFonts w:ascii="Arial" w:hAnsi="Arial"/>
      <w:sz w:val="24"/>
      <w:lang w:eastAsia="en-US"/>
    </w:rPr>
  </w:style>
  <w:style w:type="paragraph" w:customStyle="1" w:styleId="Header-Policy">
    <w:name w:val="Header-Policy"/>
    <w:basedOn w:val="Header"/>
    <w:link w:val="Header-PolicyChar"/>
    <w:autoRedefine/>
    <w:qFormat/>
    <w:rsid w:val="0073037B"/>
    <w:pPr>
      <w:pBdr>
        <w:bottom w:val="single" w:sz="4" w:space="1" w:color="auto"/>
      </w:pBdr>
      <w:jc w:val="right"/>
    </w:pPr>
    <w:rPr>
      <w:rFonts w:ascii="Verdana" w:hAnsi="Verdana"/>
      <w:i/>
      <w:sz w:val="16"/>
      <w:szCs w:val="16"/>
    </w:rPr>
  </w:style>
  <w:style w:type="paragraph" w:customStyle="1" w:styleId="Footer-Policy">
    <w:name w:val="Footer-Policy"/>
    <w:basedOn w:val="Footer"/>
    <w:link w:val="Footer-PolicyChar"/>
    <w:autoRedefine/>
    <w:qFormat/>
    <w:rsid w:val="0073037B"/>
    <w:pPr>
      <w:spacing w:after="0"/>
    </w:pPr>
    <w:rPr>
      <w:rFonts w:ascii="Verdana" w:hAnsi="Verdana"/>
      <w:i/>
      <w:sz w:val="16"/>
      <w:szCs w:val="16"/>
    </w:rPr>
  </w:style>
  <w:style w:type="character" w:customStyle="1" w:styleId="Header-PolicyChar">
    <w:name w:val="Header-Policy Char"/>
    <w:basedOn w:val="HeaderChar"/>
    <w:link w:val="Header-Policy"/>
    <w:rsid w:val="0073037B"/>
    <w:rPr>
      <w:rFonts w:ascii="Verdana" w:hAnsi="Verdana" w:cs="Arial"/>
      <w:i/>
      <w:color w:val="000000" w:themeColor="text1"/>
      <w:sz w:val="16"/>
      <w:szCs w:val="16"/>
      <w:lang w:eastAsia="en-US"/>
    </w:rPr>
  </w:style>
  <w:style w:type="character" w:customStyle="1" w:styleId="Footer-PolicyChar">
    <w:name w:val="Footer-Policy Char"/>
    <w:basedOn w:val="FooterChar"/>
    <w:link w:val="Footer-Policy"/>
    <w:rsid w:val="0073037B"/>
    <w:rPr>
      <w:rFonts w:ascii="Verdana" w:hAnsi="Verdana" w:cs="Arial"/>
      <w:i/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our-responsibilities/disability-and-carers/program-services/for-service-providers/quality-strategy-for-disability-employment-and-rehabilitation-services/complaints-and-referral-process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235F-4B86-4363-94D4-C2E3A14F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1288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EP_External Party Complaint Policy</vt:lpstr>
    </vt:vector>
  </TitlesOfParts>
  <Manager>ceo@iat.org.au</Manager>
  <Company>Independent Advocacy in the Tropics Inc.</Company>
  <LinksUpToDate>false</LinksUpToDate>
  <CharactersWithSpaces>9296</CharactersWithSpaces>
  <SharedDoc>false</SharedDoc>
  <HLinks>
    <vt:vector size="24" baseType="variant">
      <vt:variant>
        <vt:i4>786517</vt:i4>
      </vt:variant>
      <vt:variant>
        <vt:i4>9</vt:i4>
      </vt:variant>
      <vt:variant>
        <vt:i4>0</vt:i4>
      </vt:variant>
      <vt:variant>
        <vt:i4>5</vt:i4>
      </vt:variant>
      <vt:variant>
        <vt:lpwstr>Forms and Other Documents/ABP - F - 2.8 Consent Form for Release of Personal Information.doc</vt:lpwstr>
      </vt:variant>
      <vt:variant>
        <vt:lpwstr/>
      </vt:variant>
      <vt:variant>
        <vt:i4>458755</vt:i4>
      </vt:variant>
      <vt:variant>
        <vt:i4>6</vt:i4>
      </vt:variant>
      <vt:variant>
        <vt:i4>0</vt:i4>
      </vt:variant>
      <vt:variant>
        <vt:i4>5</vt:i4>
      </vt:variant>
      <vt:variant>
        <vt:lpwstr>Forms and Other Documents/ABP - F - 2.6 Consent form for advocacy.doc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Forms and Other Documents/ABP - F - 2.8 Consent Form for Release of Personal Information.doc</vt:lpwstr>
      </vt:variant>
      <vt:variant>
        <vt:lpwstr/>
      </vt:variant>
      <vt:variant>
        <vt:i4>458755</vt:i4>
      </vt:variant>
      <vt:variant>
        <vt:i4>0</vt:i4>
      </vt:variant>
      <vt:variant>
        <vt:i4>0</vt:i4>
      </vt:variant>
      <vt:variant>
        <vt:i4>5</vt:i4>
      </vt:variant>
      <vt:variant>
        <vt:lpwstr>Forms and Other Documents/ABP - F - 2.6 Consent form for advocacy.doc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EP_External Party Complaint Policy</dc:title>
  <dc:subject>Policy</dc:subject>
  <dc:creator>ceo@iat.org.au</dc:creator>
  <cp:keywords/>
  <dc:description>Management Committee</dc:description>
  <cp:lastModifiedBy>Deborah Wilson</cp:lastModifiedBy>
  <cp:revision>4</cp:revision>
  <cp:lastPrinted>2015-12-22T03:38:00Z</cp:lastPrinted>
  <dcterms:created xsi:type="dcterms:W3CDTF">2018-04-17T03:54:00Z</dcterms:created>
  <dcterms:modified xsi:type="dcterms:W3CDTF">2018-07-31T01:16:00Z</dcterms:modified>
  <cp:category>External Parties</cp:category>
  <cp:contentStatus>ACTIVE</cp:contentStatus>
</cp:coreProperties>
</file>